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октября 1993 г. N 221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1 июля 1994 года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ГОСТ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 50597-93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АВТОМОБИЛЬНЫЕ ДОРОГИ И УЛИЦЫ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ЭКСПЛУАТАЦИОННОМУ СОСТОЯНИЮ, ДОПУСТИМОМУ ПО УСЛОВИЯМ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БЕЗОПАСНОСТИ ДОРОЖНОГО ДВИЖЕНИЯ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Научно-исследовательским центром Государственной автомобильной инспекции Министерства внутренних дел Российской Федерации (НИЦ ГАИ МВД России), Научно-производственным объединением "РосдорНИИ", Московским автомобильно-дорожным институтом, Государственным дорожным научно-исследовательским институтом "СоюздорНИИ", Академией коммунального хозяйства им. К.Д. Памфилова, Министерством транспорта Российской Федерации.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ТК 278 "Безопасность дорожного движения".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 Постановлением Госстандарта России от 11.10.93 N 221.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требования стандарта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распространяется: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01.01.95 на находящиеся в эксплуатации федеральные автомобильные дороги, магистральные дороги и улицы городов и других населенных пунктов;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01.01.95 на все эксплуатируемые автомобильные дороги общего пользования с цементобетонным покрытием и любым покрытием из битумоминеральных смесей и на все дороги и улицы городов и других населенных пунктов.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Автомобильные дороги, дороги и улицы городов и других населенных пунктов по их транспортно-эксплуатационным характеристикам объединены в три группы: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группа А - автомобильные дороги с интенсивностью движения более 3000 </w:t>
      </w:r>
      <w:proofErr w:type="gramStart"/>
      <w:r>
        <w:rPr>
          <w:rFonts w:ascii="Calibri" w:hAnsi="Calibri" w:cs="Calibri"/>
        </w:rPr>
        <w:t>авт</w:t>
      </w:r>
      <w:proofErr w:type="gramEnd"/>
      <w:r>
        <w:rPr>
          <w:rFonts w:ascii="Calibri" w:hAnsi="Calibri" w:cs="Calibri"/>
        </w:rPr>
        <w:t>/сут; в городах и населенных пунктах - магистральные дороги скоростного движения, магистральные улицы общегородского значения непрерывного движения;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группа Б - автомобильные дороги с интенсивностью движения от 1000 до 3000 </w:t>
      </w:r>
      <w:proofErr w:type="gramStart"/>
      <w:r>
        <w:rPr>
          <w:rFonts w:ascii="Calibri" w:hAnsi="Calibri" w:cs="Calibri"/>
        </w:rPr>
        <w:t>авт</w:t>
      </w:r>
      <w:proofErr w:type="gramEnd"/>
      <w:r>
        <w:rPr>
          <w:rFonts w:ascii="Calibri" w:hAnsi="Calibri" w:cs="Calibri"/>
        </w:rPr>
        <w:t>/сут; в городах и населенных пунктах - магистральные дороги регулируемого движения, магистральные улицы общегородского значения регулируемого движения и районного значения;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группа В - автомобильные дороги с интенсивностью движения менее 1000 </w:t>
      </w:r>
      <w:proofErr w:type="gramStart"/>
      <w:r>
        <w:rPr>
          <w:rFonts w:ascii="Calibri" w:hAnsi="Calibri" w:cs="Calibri"/>
        </w:rPr>
        <w:t>авт</w:t>
      </w:r>
      <w:proofErr w:type="gramEnd"/>
      <w:r>
        <w:rPr>
          <w:rFonts w:ascii="Calibri" w:hAnsi="Calibri" w:cs="Calibri"/>
        </w:rPr>
        <w:t>/сут; в городах и населенных пунктах - улицы и дороги местного значения;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улиц и дорог в городах и населенных пунктах - по СНиП 2.07.01.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стандартом требования должны обеспечиваться организациями, в ведении которых находятся автомобильные дороги, а также улицы и дороги городов и других населенных пунктов.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эксплуатационное состояние дорог и улиц не отвечает требованиям настоящего стандарта, на них должны быть введены временные ограничения, обеспечивающие безопасность движения, вплоть до полного запрещения движения.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стандарты, строительные нормы и правила, инструкции: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ГОСТ 10807-78</w:t>
        </w:r>
      </w:hyperlink>
      <w:r>
        <w:rPr>
          <w:rFonts w:ascii="Calibri" w:hAnsi="Calibri" w:cs="Calibri"/>
        </w:rPr>
        <w:t xml:space="preserve"> Знаки дорожные. Общие технические условия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ГОСТ 13508-74</w:t>
        </w:r>
      </w:hyperlink>
      <w:r>
        <w:rPr>
          <w:rFonts w:ascii="Calibri" w:hAnsi="Calibri" w:cs="Calibri"/>
        </w:rPr>
        <w:t xml:space="preserve"> Разметка дорожная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ГОСТ 23457-86</w:t>
        </w:r>
      </w:hyperlink>
      <w:r>
        <w:rPr>
          <w:rFonts w:ascii="Calibri" w:hAnsi="Calibri" w:cs="Calibri"/>
        </w:rPr>
        <w:t xml:space="preserve"> Технические средства организации дорожного движения. Правила применения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ГОСТ 25695-91</w:t>
        </w:r>
      </w:hyperlink>
      <w:r>
        <w:rPr>
          <w:rFonts w:ascii="Calibri" w:hAnsi="Calibri" w:cs="Calibri"/>
        </w:rPr>
        <w:t xml:space="preserve"> Светофоры дорожные. Типы. Основные параметры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ГОСТ 26804-86</w:t>
        </w:r>
      </w:hyperlink>
      <w:r>
        <w:rPr>
          <w:rFonts w:ascii="Calibri" w:hAnsi="Calibri" w:cs="Calibri"/>
        </w:rPr>
        <w:t xml:space="preserve"> Ограждения дорожные металлические барьерного типа. Технические условия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СНиП 2.05.02-85</w:t>
        </w:r>
      </w:hyperlink>
      <w:r>
        <w:rPr>
          <w:rFonts w:ascii="Calibri" w:hAnsi="Calibri" w:cs="Calibri"/>
        </w:rPr>
        <w:t xml:space="preserve"> Автомобильные дороги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СНиП 2.07.01-89</w:t>
        </w:r>
      </w:hyperlink>
      <w:r>
        <w:rPr>
          <w:rFonts w:ascii="Calibri" w:hAnsi="Calibri" w:cs="Calibri"/>
        </w:rPr>
        <w:t xml:space="preserve"> Планировка и застройка городских и сельских поселений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СНиП 3.06.03-85</w:t>
        </w:r>
      </w:hyperlink>
      <w:r>
        <w:rPr>
          <w:rFonts w:ascii="Calibri" w:hAnsi="Calibri" w:cs="Calibri"/>
        </w:rPr>
        <w:t xml:space="preserve"> Автомобильные дороги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ВСН 24-88</w:t>
        </w:r>
      </w:hyperlink>
      <w:r>
        <w:rPr>
          <w:rFonts w:ascii="Calibri" w:hAnsi="Calibri" w:cs="Calibri"/>
        </w:rPr>
        <w:t xml:space="preserve"> Технические правила ремонта и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автомобильных дорог (Минавтодор РСФСР)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Инструкция</w:t>
        </w:r>
      </w:hyperlink>
      <w:r>
        <w:rPr>
          <w:rFonts w:ascii="Calibri" w:hAnsi="Calibri" w:cs="Calibri"/>
        </w:rPr>
        <w:t xml:space="preserve"> по эксплуатации железнодорожных переездов (утверждена Министерством путей сообщения СССР 19.08.91, согласована Министерством автомобильных дорог РСФСР 17.09.90 и МВД СССР 12.02.91).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эксплуатационному состоянию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дорог, улиц и дорог городов и других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населенных пунктов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Проезжая часть дорог и улиц, покрытия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3.1. Покрытие проезжей части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61"/>
      <w:bookmarkEnd w:id="0"/>
      <w:r>
        <w:rPr>
          <w:rFonts w:ascii="Calibri" w:hAnsi="Calibri" w:cs="Calibri"/>
        </w:rPr>
        <w:t>3.1.1. Покрытие проезжей части не должно иметь просадок, выбоин, иных повреждений, затрудняющих движение транспортных сре</w:t>
      </w:r>
      <w:proofErr w:type="gramStart"/>
      <w:r>
        <w:rPr>
          <w:rFonts w:ascii="Calibri" w:hAnsi="Calibri" w:cs="Calibri"/>
        </w:rPr>
        <w:t>дств с р</w:t>
      </w:r>
      <w:proofErr w:type="gramEnd"/>
      <w:r>
        <w:rPr>
          <w:rFonts w:ascii="Calibri" w:hAnsi="Calibri" w:cs="Calibri"/>
        </w:rPr>
        <w:t>азрешенной Правилами дорожного движения скоростью.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допустимые повреждения покрытия, а также сроки их ликвидации приведены в таблице 1.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01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721"/>
        <w:gridCol w:w="2494"/>
      </w:tblGrid>
      <w:tr w:rsidR="005E301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Группа дорог и улицпо их транспортно-эксплуатационным характеристикам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Повреждения на 1000 кв. м покрытия, кв. м, не более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ликвидации повреждений, сут., не более</w:t>
            </w:r>
          </w:p>
        </w:tc>
      </w:tr>
      <w:tr w:rsidR="005E301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 (1,5)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301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(3,5)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E301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(7,0)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В скобках приведены значения повреждений для весеннего периода.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Сроки ликвидации повреждений указаны для строительного сезона, определяемого погодно-климатическими условиями, приведенными в </w:t>
      </w:r>
      <w:hyperlink r:id="rId14" w:history="1">
        <w:r>
          <w:rPr>
            <w:rFonts w:ascii="Calibri" w:hAnsi="Calibri" w:cs="Calibri"/>
            <w:color w:val="0000FF"/>
          </w:rPr>
          <w:t>СНиП 3.06.03</w:t>
        </w:r>
      </w:hyperlink>
      <w:r>
        <w:rPr>
          <w:rFonts w:ascii="Calibri" w:hAnsi="Calibri" w:cs="Calibri"/>
        </w:rPr>
        <w:t xml:space="preserve"> по конкретным видам работ.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3.1.2. Предельные размеры отдельных просадок, выбоин и т.п. не должны превышать по длине 15 см, ширине - 60 см и глубине - 5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Ровность покрытия проезжей части должна соответствовать требованиям, приведенным в </w:t>
      </w:r>
      <w:hyperlink w:anchor="Par88" w:history="1">
        <w:r>
          <w:rPr>
            <w:rFonts w:ascii="Calibri" w:hAnsi="Calibri" w:cs="Calibri"/>
            <w:color w:val="0000FF"/>
          </w:rPr>
          <w:t>таблице 2</w:t>
        </w:r>
      </w:hyperlink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</w:t>
      </w:r>
      <w:proofErr w:type="gramStart"/>
      <w:r>
        <w:rPr>
          <w:rFonts w:ascii="Calibri" w:hAnsi="Calibri" w:cs="Calibri"/>
        </w:rPr>
        <w:t>Коэффициент сцепления покрытия должен обеспечивать безопасные условия движения с разрешенной Правилами дорожного движения скоростью и быть не менее 0,3 при его измерении шиной без рисунка протектора и 0,4 - шиной, имеющей рисунок протектора &lt;*&gt;.</w:t>
      </w:r>
      <w:proofErr w:type="gramEnd"/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Значения коэффициента сцепления приведены для условий его измерения прибором ПКРС-2 (ТУ 78.1.003-83).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88"/>
      <w:bookmarkEnd w:id="2"/>
      <w:r>
        <w:rPr>
          <w:rFonts w:ascii="Calibri" w:hAnsi="Calibri" w:cs="Calibri"/>
        </w:rPr>
        <w:t>Таблица 2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3288"/>
        <w:gridCol w:w="2891"/>
      </w:tblGrid>
      <w:tr w:rsidR="005E3015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покрытия по ровности</w:t>
            </w:r>
          </w:p>
        </w:tc>
      </w:tr>
      <w:tr w:rsidR="005E3015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ровности по прибору ПКРС-2, см/км, не более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просветов под 3-метровой рейкой,</w:t>
            </w:r>
          </w:p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%, не более</w:t>
            </w:r>
          </w:p>
        </w:tc>
      </w:tr>
      <w:tr w:rsidR="005E301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E301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E301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Число просветов подсчитывают по значениям, превышающим </w:t>
      </w:r>
      <w:proofErr w:type="gramStart"/>
      <w:r>
        <w:rPr>
          <w:rFonts w:ascii="Calibri" w:hAnsi="Calibri" w:cs="Calibri"/>
        </w:rPr>
        <w:t>указанные</w:t>
      </w:r>
      <w:proofErr w:type="gramEnd"/>
      <w:r>
        <w:rPr>
          <w:rFonts w:ascii="Calibri" w:hAnsi="Calibri" w:cs="Calibri"/>
        </w:rPr>
        <w:t xml:space="preserve"> в </w:t>
      </w:r>
      <w:hyperlink r:id="rId15" w:history="1">
        <w:r>
          <w:rPr>
            <w:rFonts w:ascii="Calibri" w:hAnsi="Calibri" w:cs="Calibri"/>
            <w:color w:val="0000FF"/>
          </w:rPr>
          <w:t>СНиП 3.06.03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Время, необходимое для устранения причин, снижающих сцепные качества покрытий в зависимости от вида работ, устанавливают с момента обнаружения этих причин, и оно не должно превышать значений, приведенных в таблице 3.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98"/>
      </w:tblGrid>
      <w:tr w:rsidR="005E301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повышению сцепных качеств покрытия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Время, необходимое для выполнения работ, сут., не более</w:t>
            </w:r>
          </w:p>
        </w:tc>
      </w:tr>
      <w:tr w:rsidR="005E301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Устранение скользкости покрытия, вызванной выпотеванием битума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E301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Очистка покрытия от загрязнений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301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шероховатости покрытия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Сроки ликвидации зимней скользкости и окончания снегоочистки для автомобильных дорог, а также улиц и дорог городов и других населенных пунктов с учетом их транспортно - эксплуатационных характеристик приведены в таблице 4.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046"/>
      </w:tblGrid>
      <w:tr w:rsidR="005E301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Нормативный срок ликвидации зимней скользкости и окончания снегоочистки,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5E301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E301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301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Нормативный срок ликвидации зимней скользкости принимается с момента ее обнаружения до полной ликвидации, а окончание снегоочистки - с момента окончания снегопада или метели до момента завершения работ.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На дорогах и улицах городов и других населенных пунктов снег с проезжей части следует убирать в лотки или на разделительную полосу и формировать в виде снежных валов с разрывами на ширину 2,0 - 2,5 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Формирование снежных валов не допускается: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ближе 5 м от пешеходного перехода;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ближе 20 м от остановочного пункта общественного транспорта;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участках дорог, оборудованных транспортными ограждениями или повышенным бордюром;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тротуарах.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44"/>
      <w:bookmarkEnd w:id="3"/>
      <w:r>
        <w:rPr>
          <w:rFonts w:ascii="Calibri" w:hAnsi="Calibri" w:cs="Calibri"/>
        </w:rPr>
        <w:t>3.1.9.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сроки, приведенные в таблице 5.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92"/>
      </w:tblGrid>
      <w:tr w:rsidR="005E301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Интенсивность движения пешеходов, чел./час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Время проведения работ,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., не более</w:t>
            </w:r>
          </w:p>
        </w:tc>
      </w:tr>
      <w:tr w:rsidR="005E301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250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301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100 до 250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E301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01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7"/>
      <w:bookmarkEnd w:id="4"/>
      <w:r>
        <w:rPr>
          <w:rFonts w:ascii="Calibri" w:hAnsi="Calibri" w:cs="Calibri"/>
        </w:rPr>
        <w:t xml:space="preserve">3.1.10. Люки смотровых колодцев должны соответствовать требованиям </w:t>
      </w:r>
      <w:hyperlink r:id="rId16" w:history="1">
        <w:r>
          <w:rPr>
            <w:rFonts w:ascii="Calibri" w:hAnsi="Calibri" w:cs="Calibri"/>
            <w:color w:val="0000FF"/>
          </w:rPr>
          <w:t>ГОСТ 3634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отклонение крышки люка относительно уровня покрытия более 2,0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Дождеприемники должны соответствовать требованиям ГОСТ 26008.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отклонение решетки дождеприемника относительно уровня лотка более 3,0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3.1.12. Устранение недостатков, указанных в </w:t>
      </w:r>
      <w:hyperlink w:anchor="Par144" w:history="1">
        <w:r>
          <w:rPr>
            <w:rFonts w:ascii="Calibri" w:hAnsi="Calibri" w:cs="Calibri"/>
            <w:color w:val="0000FF"/>
          </w:rPr>
          <w:t>п. п. 3.1.9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3.1.10</w:t>
        </w:r>
      </w:hyperlink>
      <w:r>
        <w:rPr>
          <w:rFonts w:ascii="Calibri" w:hAnsi="Calibri" w:cs="Calibri"/>
        </w:rPr>
        <w:t>, следует осуществлять в течение не более суток с момента их обнаружения.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Разрушенные крышки и решетки должны быть немедленно ограждены и обозначены соответствующими дорожными знаками. Их замена должна быть проведена в течение не более 3 ч.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3.1.13. Не допускается отклонение верха головки рельса трамвайных или железнодорожных путей, расположенных в пределах проезжей части, относительно покрытия более 2,0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железнодорожных переездах не допускается возвышение междурельсового настила над верхом рельсов более 3,0 см, а глубина неровностей в покрытии междурельсового пространства (настиле) не должна быть более 4,0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указанных недостатков должно быть осуществлено в течение не более 2 сут. с момента их обнаружения.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3.2. Обочины и разделительные полосы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Обочины и разделительные полосы, не отделенные от проезжей части бордюром, не должны быть ниже уровня прилегающей кромки проезжей части более чем на 4,0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Возвышение обочины (разделительной полосы) над проезжей частью при отсутствии бордюра не допускается.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Состояние укрепительных полос по степени деформации и ровности их покрытия должно соответствовать значениям, установленным для покрытий проезжей части (</w:t>
      </w:r>
      <w:hyperlink w:anchor="Par61" w:history="1">
        <w:r>
          <w:rPr>
            <w:rFonts w:ascii="Calibri" w:hAnsi="Calibri" w:cs="Calibri"/>
            <w:color w:val="0000FF"/>
          </w:rPr>
          <w:t>п. п. 3.1.1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>).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дефектов укрепительной полосы следует осуществлять в течение не более 14 сут. с момента обнаружения.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Повреждения грунтовых обочин (разделительных полос) не должны превышать значений, приведенных в таблице 6.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01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005"/>
        <w:gridCol w:w="2041"/>
      </w:tblGrid>
      <w:tr w:rsidR="005E301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Группа дорог и улиц по их транспортно-эксплуатационным характеристикам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Повреждения на 1000 кв. м покрытия кв. м, не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Глубина повреждений, </w:t>
            </w: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>, не более</w:t>
            </w:r>
          </w:p>
        </w:tc>
      </w:tr>
      <w:tr w:rsidR="005E301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E301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5E301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3.3. Видимость в плане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На пересечениях автомобильных дорог в одном уровне при отсутствии застройки должно быть обеспечено расстояние видимости в соответствии с требованиями действующих строительных норм и правил.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На неохраняемых железнодорожных переездах водителям транспортных средств, находящимся на удалении не более 50 м от ближнего рельса, должна быть обеспечена видимость приближающегося с любой стороны поезда в соответствии с нормами таблицы 7.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304"/>
        <w:gridCol w:w="1304"/>
        <w:gridCol w:w="1304"/>
        <w:gridCol w:w="1304"/>
        <w:gridCol w:w="1304"/>
      </w:tblGrid>
      <w:tr w:rsidR="005E30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Скорость движения поезда,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>/ч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121 - 140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41 - 80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и менее</w:t>
            </w:r>
          </w:p>
        </w:tc>
      </w:tr>
      <w:tr w:rsidR="005E30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Расстояние видимости,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, не менее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01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Принимается скорость движения пассажирских поездов дальнего следования, а при их отсутствии - наибольшая из скоростей движения пригородных пассажирских поездов или товарных поездов с порожними вагонами.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техническим средствам организации дорожного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движения и оборудованию дорог и улиц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4.1. Дорожные знаки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Автомобильные дороги, а также улицы и дороги городов и других населенных пунктов должны быть оборудованы дорожными знаками, изготовленными по </w:t>
      </w:r>
      <w:hyperlink r:id="rId17" w:history="1">
        <w:r>
          <w:rPr>
            <w:rFonts w:ascii="Calibri" w:hAnsi="Calibri" w:cs="Calibri"/>
            <w:color w:val="0000FF"/>
          </w:rPr>
          <w:t>ГОСТ 10807</w:t>
        </w:r>
      </w:hyperlink>
      <w:r>
        <w:rPr>
          <w:rFonts w:ascii="Calibri" w:hAnsi="Calibri" w:cs="Calibri"/>
        </w:rPr>
        <w:t xml:space="preserve"> и размещенными по </w:t>
      </w:r>
      <w:hyperlink r:id="rId18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 xml:space="preserve"> в соответствии с утвержденной в установленном порядке дислокацией.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Поверхность знаков должна быть чистой, без повреждений, затрудняющих их восприятие.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4.1.3. Для  дорожных знаков с световозвращающей поверхностью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процессе   их   эксплуатации   допускается   снижение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удельного</w:t>
      </w:r>
      <w:proofErr w:type="gramEnd"/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-1     -2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коэффициента   силы   света   (кд  х  лк   х  м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)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до  не  менее: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35 - для белого цвета,  20 - желтого,  6 - красного, 4 - зеленого,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2 - синего.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4.1.4. Средняя яркость элементов изображения дорожных знаков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-2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внутренним освещением (кд х м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)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не должна быть меньше:  90  - для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белого и желтого цветов, 20 - зеленого, 10 - красного, 5 - синего.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Яркость  элементов   черного   цвета   не   должна   превышать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-2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4 кд х м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.</w:t>
      </w:r>
      <w:proofErr w:type="gramEnd"/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Замену или восстановление поврежденных дорожных знаков (кроме знаков приоритета 2.1 - 2.7) следует осуществлять в течение 3 сут. после обнаружения, а знаков приоритета - в течение суток.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4.2. Дорожная разметка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Разметку автомобильных дорог, а также улиц и дорог городов и других населенных пунктов следует выполнять по </w:t>
      </w:r>
      <w:hyperlink r:id="rId19" w:history="1">
        <w:r>
          <w:rPr>
            <w:rFonts w:ascii="Calibri" w:hAnsi="Calibri" w:cs="Calibri"/>
            <w:color w:val="0000FF"/>
          </w:rPr>
          <w:t>ГОСТ 13508</w:t>
        </w:r>
      </w:hyperlink>
      <w:r>
        <w:rPr>
          <w:rFonts w:ascii="Calibri" w:hAnsi="Calibri" w:cs="Calibri"/>
        </w:rPr>
        <w:t xml:space="preserve"> и наносить в соответствии с </w:t>
      </w:r>
      <w:hyperlink r:id="rId20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 xml:space="preserve"> и утвержденными схемами.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Дорожная разметка в процессе эксплуатации должна быть хорошо различима в любое время суток (при условии отсутствия снега на покрытии).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Дорожная разметка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составляет более 50% при выполнении ее краской и более 25% - термопластичными массами.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Светотехнические параметры дорожной разметки в процессе эксплуатации должны отвечать следующим требованиям: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коэффициент яркости должен быть не менее значений, приведенных в таблице 8;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01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82"/>
        <w:gridCol w:w="4082"/>
      </w:tblGrid>
      <w:tr w:rsidR="005E301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Цвет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яркости разметки, %</w:t>
            </w:r>
          </w:p>
        </w:tc>
      </w:tr>
      <w:tr w:rsidR="005E301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обычных лакокрасочных и термопластичных материалов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лакокрасочных и термопластичных материалов со световозвращающими свойствами</w:t>
            </w:r>
          </w:p>
        </w:tc>
      </w:tr>
      <w:tr w:rsidR="005E30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5E30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5" w:rsidRDefault="005E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</w:tbl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01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-1    -2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   коэффициент   силы   света  (мкд х лк   х м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)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разметки,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выполненной из световозвращающих материалов, должен быть не менее:</w:t>
      </w:r>
    </w:p>
    <w:p w:rsidR="005E3015" w:rsidRDefault="005E3015" w:rsidP="005E301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80 - для белого цвета, 48 - желтого.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Восстановление разметки следует проводить в соответствии с действующей технологией.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Коэффициент сцепления разметки должен быть не менее 0,75 значений коэффициента сцепления покрытия.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4.3. Дорожные светофоры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Светофоры должны соответствовать требованиям </w:t>
      </w:r>
      <w:hyperlink r:id="rId21" w:history="1">
        <w:r>
          <w:rPr>
            <w:rFonts w:ascii="Calibri" w:hAnsi="Calibri" w:cs="Calibri"/>
            <w:color w:val="0000FF"/>
          </w:rPr>
          <w:t>ГОСТ 25695</w:t>
        </w:r>
      </w:hyperlink>
      <w:r>
        <w:rPr>
          <w:rFonts w:ascii="Calibri" w:hAnsi="Calibri" w:cs="Calibri"/>
        </w:rPr>
        <w:t xml:space="preserve">, а их размещение и режим работы - требованиям </w:t>
      </w:r>
      <w:hyperlink r:id="rId22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Отдельные детали светофора либо элементы его крепления не должны иметь видимых повреждений и разрушений.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Рассеиватель не должен иметь трещин и сколов.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Символы, наносимые на рассеиватели, должны распознаваться с расстояния не менее 50 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Отражатель не должен иметь разрушений и коррозии, вызывающих появление зон пониженной яркости, различимых с расстояния 50 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4.3.3. В процессе эксплуатации допускается снижение силы света сигнала светофора в осевом направлении не более чем на 30% значений, установленных по </w:t>
      </w:r>
      <w:hyperlink r:id="rId23" w:history="1">
        <w:r>
          <w:rPr>
            <w:rFonts w:ascii="Calibri" w:hAnsi="Calibri" w:cs="Calibri"/>
            <w:color w:val="0000FF"/>
          </w:rPr>
          <w:t>ГОСТ 25695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Замену вышедшего из строя источника света следует осуществлять в течение суток с момента обнаружения неисправности, а поврежденной электромонтажной схемы в корпусе светофора или электрического кабеля - в течение 3 сут.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4.4. Дорожные ограждения и бортовой камень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4.4.1. Опасные для движения участки автомобильных дорог, улиц и дорог городов и других населенных пунктов, в том числе проходящие по мостам и путепроводам, должны быть оборудованы ограждениями в соответствии с ГОСТ 25804, </w:t>
      </w:r>
      <w:hyperlink r:id="rId24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СНиП 2.05.02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СНиП 2.05.03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4.4.2. Ограждения должны быть окрашены в соответствии с </w:t>
      </w:r>
      <w:hyperlink r:id="rId27" w:history="1">
        <w:r>
          <w:rPr>
            <w:rFonts w:ascii="Calibri" w:hAnsi="Calibri" w:cs="Calibri"/>
            <w:color w:val="0000FF"/>
          </w:rPr>
          <w:t>ГОСТ 13508</w:t>
        </w:r>
      </w:hyperlink>
      <w:r>
        <w:rPr>
          <w:rFonts w:ascii="Calibri" w:hAnsi="Calibri" w:cs="Calibri"/>
        </w:rPr>
        <w:t>. Не требуют окраски оцинкованные поверхности ограждений.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Поврежденные элементы ограждений подлежат восстановлению или замене в течение 5 сут. после обнаружения дефектов.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Отдельные бортовые камни подлежат замене, если их открытая поверхность имеет разрушения более чем на 20% площади или на поверхности имеются сколы глубиной более 3,0 см.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отклонение бортового камня от его проектного положения.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4.5. Сигнальные столбики и маяки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4.5.1. Сигнальные столбики и маяки следует устанавливать в соответствии с требованиями </w:t>
      </w:r>
      <w:hyperlink r:id="rId28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4.5.3. Сигнальные столбики и маяки должны иметь окраску, вертикальную разметку и световозвращатели в соответствии с требованиями </w:t>
      </w:r>
      <w:hyperlink r:id="rId29" w:history="1">
        <w:r>
          <w:rPr>
            <w:rFonts w:ascii="Calibri" w:hAnsi="Calibri" w:cs="Calibri"/>
            <w:color w:val="0000FF"/>
          </w:rPr>
          <w:t>ГОСТ 13508</w:t>
        </w:r>
      </w:hyperlink>
      <w:r>
        <w:rPr>
          <w:rFonts w:ascii="Calibri" w:hAnsi="Calibri" w:cs="Calibri"/>
        </w:rPr>
        <w:t>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Поврежденные сигнальные столбики должны быть заменены в течение 5 сут. после обнаружения повреждения.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4.5.5. Замену вышедшего из строя источника света или поврежденного элемента маяка следует осуществлять в течение суток с момента обнаружения неисправности.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4.6. Наружное освещение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 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4.6.2. Переключение освещения транспортных тоннелей с дневного на ночной режим и обратно следует проводить при достижении естественной освещенности 100 лк.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4.6.3.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4.6.4. Допускается частичное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до 50%) отключение наружного освещения в ночное время в случае, когда интенсивность движения пешеходов менее 40 чел./ч. и транспортных средств в обоих направлениях - менее 50 ед./ч.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4.6.5. Отказы в работе наружных осветительных установок, связанные с обрывом электрических проводов или повреждением опор, следует устранять немедленно после обнаружения.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Методы контроля</w:t>
      </w: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015" w:rsidRDefault="005E3015" w:rsidP="005E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Сцепление и ровность покрытия следует оценивать приборами ПКРС, ППК-МАДИ-ВНИИБД, 3-метровой рейкой с клином в соответствии с прилагаемыми к ним инструкциями по эксплуатации.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Контроль линейных параметров, характеризующих техническое состояние дорог и улиц, следует осуществлять с помощью линейки или рулетки.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других параметров, не имеющих количественной оценки, осуществляется визуально.</w:t>
      </w:r>
    </w:p>
    <w:p w:rsidR="005E3015" w:rsidRDefault="005E3015" w:rsidP="005E30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Свет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цветотехнические характеристики дорожной разметки следует определять по </w:t>
      </w:r>
      <w:hyperlink r:id="rId30" w:history="1">
        <w:r>
          <w:rPr>
            <w:rFonts w:ascii="Calibri" w:hAnsi="Calibri" w:cs="Calibri"/>
            <w:color w:val="0000FF"/>
          </w:rPr>
          <w:t>ГОСТ 13508</w:t>
        </w:r>
      </w:hyperlink>
      <w:r>
        <w:rPr>
          <w:rFonts w:ascii="Calibri" w:hAnsi="Calibri" w:cs="Calibri"/>
        </w:rPr>
        <w:t xml:space="preserve">, сигналов дорожных светофоров - по </w:t>
      </w:r>
      <w:hyperlink r:id="rId31" w:history="1">
        <w:r>
          <w:rPr>
            <w:rFonts w:ascii="Calibri" w:hAnsi="Calibri" w:cs="Calibri"/>
            <w:color w:val="0000FF"/>
          </w:rPr>
          <w:t>ГОСТ 25695</w:t>
        </w:r>
      </w:hyperlink>
      <w:r>
        <w:rPr>
          <w:rFonts w:ascii="Calibri" w:hAnsi="Calibri" w:cs="Calibri"/>
        </w:rPr>
        <w:t xml:space="preserve">, дорожных знаков - по </w:t>
      </w:r>
      <w:hyperlink r:id="rId32" w:history="1">
        <w:r>
          <w:rPr>
            <w:rFonts w:ascii="Calibri" w:hAnsi="Calibri" w:cs="Calibri"/>
            <w:color w:val="0000FF"/>
          </w:rPr>
          <w:t>ГОСТ 10807</w:t>
        </w:r>
      </w:hyperlink>
      <w:r>
        <w:rPr>
          <w:rFonts w:ascii="Calibri" w:hAnsi="Calibri" w:cs="Calibri"/>
        </w:rPr>
        <w:t>.</w:t>
      </w:r>
    </w:p>
    <w:p w:rsidR="005D51D8" w:rsidRDefault="005D51D8"/>
    <w:sectPr w:rsidR="005D51D8" w:rsidSect="0054288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E3015"/>
    <w:rsid w:val="005D51D8"/>
    <w:rsid w:val="005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7F84B365614DBDFDB14F202B69955CCCFBD43421810F5131BD6E97C7CCD60709EE828D8AF4C6F3DC46l1M2F" TargetMode="External"/><Relationship Id="rId13" Type="http://schemas.openxmlformats.org/officeDocument/2006/relationships/hyperlink" Target="consultantplus://offline/ref=FF247F84B365614DBDFDA748272B69955CCFF4D7387C8B07083DBF699898C9C31651E1899A95F4D9EFDE471BlFM2F" TargetMode="External"/><Relationship Id="rId18" Type="http://schemas.openxmlformats.org/officeDocument/2006/relationships/hyperlink" Target="consultantplus://offline/ref=FF247F84B365614DBDFDB14F202B69955CC9F5D4377C8B07083DBF699898C9C31651E1899A95F4D9EFDE471BlFM2F" TargetMode="External"/><Relationship Id="rId26" Type="http://schemas.openxmlformats.org/officeDocument/2006/relationships/hyperlink" Target="consultantplus://offline/ref=FF247F84B365614DBDFDB14F202B699559CDFDD33421810F5131BD6E97C7CCD60709EE828D8AF4C6F3DC46l1M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247F84B365614DBDFDB14F202B69955CC9FFD33421810F5131BD6E97C7CCD60709EE828D8AF4C6F3DC46l1M2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F247F84B365614DBDFDB14F202B69955CC9FFD33421810F5131BD6E97C7CCD60709EE828D8AF4C6F3DC46l1M2F" TargetMode="External"/><Relationship Id="rId12" Type="http://schemas.openxmlformats.org/officeDocument/2006/relationships/hyperlink" Target="consultantplus://offline/ref=FF247F84B365614DBDFDB14F202B69955BCCFBD73421810F5131BD6E97C7CCD60709EE828D8AF4C6F3DC46l1M2F" TargetMode="External"/><Relationship Id="rId17" Type="http://schemas.openxmlformats.org/officeDocument/2006/relationships/hyperlink" Target="consultantplus://offline/ref=FF247F84B365614DBDFDB14F202B69955CC9FCD1387C8B07083DBF699898C9C31651E1899A95F4D9EFDE471BlFM2F" TargetMode="External"/><Relationship Id="rId25" Type="http://schemas.openxmlformats.org/officeDocument/2006/relationships/hyperlink" Target="consultantplus://offline/ref=FF247F84B365614DBDFDB14F202B69955FC9FFD3387C8B07083DBF699898C9C31651E1899A95F4D9EFDE471BlFM2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247F84B365614DBDFDB14F202B69955ECEF8D13421810F5131BD6E97C7CCD60709EE828D8AF4C6F3DC46l1M2F" TargetMode="External"/><Relationship Id="rId20" Type="http://schemas.openxmlformats.org/officeDocument/2006/relationships/hyperlink" Target="consultantplus://offline/ref=FF247F84B365614DBDFDB14F202B69955CC9F5D4377C8B07083DBF699898C9C31651E1899A95F4D9EFDE471BlFM2F" TargetMode="External"/><Relationship Id="rId29" Type="http://schemas.openxmlformats.org/officeDocument/2006/relationships/hyperlink" Target="consultantplus://offline/ref=FF247F84B365614DBDFDB14F202B69955CC1FAD73C7C8B07083DBF699898C9C31651E1899A95F4D9EFDE471BlFM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247F84B365614DBDFDB14F202B69955CC9F5D4377C8B07083DBF699898C9C31651E1899A95F4D9EFDE471BlFM2F" TargetMode="External"/><Relationship Id="rId11" Type="http://schemas.openxmlformats.org/officeDocument/2006/relationships/hyperlink" Target="consultantplus://offline/ref=FF247F84B365614DBDFDB14F202B699559CFFAD13421810F5131BD6E97C7CCD60709EE828D8AF4C6F3DC46l1M2F" TargetMode="External"/><Relationship Id="rId24" Type="http://schemas.openxmlformats.org/officeDocument/2006/relationships/hyperlink" Target="consultantplus://offline/ref=FF247F84B365614DBDFDB14F202B69955CC9F5D4377C8B07083DBF699898C9C31651E1899A95F4D9EFDE471BlFM2F" TargetMode="External"/><Relationship Id="rId32" Type="http://schemas.openxmlformats.org/officeDocument/2006/relationships/hyperlink" Target="consultantplus://offline/ref=FF247F84B365614DBDFDB14F202B69955CC9FCD1387C8B07083DBF699898C9C31651E1899A95F4D9EFDE471BlFM2F" TargetMode="External"/><Relationship Id="rId5" Type="http://schemas.openxmlformats.org/officeDocument/2006/relationships/hyperlink" Target="consultantplus://offline/ref=FF247F84B365614DBDFDB14F202B69955CC1FAD73C7C8B07083DBF699898C9C31651E1899A95F4D9EFDE471BlFM2F" TargetMode="External"/><Relationship Id="rId15" Type="http://schemas.openxmlformats.org/officeDocument/2006/relationships/hyperlink" Target="consultantplus://offline/ref=FF247F84B365614DBDFDB14F202B699559CFFAD13421810F5131BD6E97C7CCD60709EE828D8AF4C6F3DC46l1M2F" TargetMode="External"/><Relationship Id="rId23" Type="http://schemas.openxmlformats.org/officeDocument/2006/relationships/hyperlink" Target="consultantplus://offline/ref=FF247F84B365614DBDFDB14F202B69955CC9FFD33421810F5131BD6E97C7CCD60709EE828D8AF4C6F3DC46l1M2F" TargetMode="External"/><Relationship Id="rId28" Type="http://schemas.openxmlformats.org/officeDocument/2006/relationships/hyperlink" Target="consultantplus://offline/ref=FF247F84B365614DBDFDB14F202B69955CC9F5D4377C8B07083DBF699898C9C31651E1899A95F4D9EFDE471BlFM2F" TargetMode="External"/><Relationship Id="rId10" Type="http://schemas.openxmlformats.org/officeDocument/2006/relationships/hyperlink" Target="consultantplus://offline/ref=FF247F84B365614DBDFDB14F202B69955FCFFCD13421810F5131BD6E97C7CCD60709EE828D8AF4C6F3DC46l1M2F" TargetMode="External"/><Relationship Id="rId19" Type="http://schemas.openxmlformats.org/officeDocument/2006/relationships/hyperlink" Target="consultantplus://offline/ref=FF247F84B365614DBDFDB14F202B69955CC1FAD73C7C8B07083DBF699898C9C31651E1899A95F4D9EFDE471BlFM2F" TargetMode="External"/><Relationship Id="rId31" Type="http://schemas.openxmlformats.org/officeDocument/2006/relationships/hyperlink" Target="consultantplus://offline/ref=FF247F84B365614DBDFDB14F202B69955CC9FFD33421810F5131BD6E97C7CCD60709EE828D8AF4C6F3DC46l1M2F" TargetMode="External"/><Relationship Id="rId4" Type="http://schemas.openxmlformats.org/officeDocument/2006/relationships/hyperlink" Target="consultantplus://offline/ref=FF247F84B365614DBDFDB14F202B69955CC9FCD1387C8B07083DBF699898C9C31651E1899A95F4D9EFDE471BlFM2F" TargetMode="External"/><Relationship Id="rId9" Type="http://schemas.openxmlformats.org/officeDocument/2006/relationships/hyperlink" Target="consultantplus://offline/ref=FF247F84B365614DBDFDB14F202B69955FC9FFD3387C8B07083DBF699898C9C31651E1899A95F4D9EFDE471BlFM2F" TargetMode="External"/><Relationship Id="rId14" Type="http://schemas.openxmlformats.org/officeDocument/2006/relationships/hyperlink" Target="consultantplus://offline/ref=FF247F84B365614DBDFDB14F202B699559CFFAD13421810F5131BD6E97C7CCD60709EE828D8AF4C6F3DC46l1M2F" TargetMode="External"/><Relationship Id="rId22" Type="http://schemas.openxmlformats.org/officeDocument/2006/relationships/hyperlink" Target="consultantplus://offline/ref=FF247F84B365614DBDFDB14F202B69955CC9F5D4377C8B07083DBF699898C9C31651E1899A95F4D9EFDE471BlFM2F" TargetMode="External"/><Relationship Id="rId27" Type="http://schemas.openxmlformats.org/officeDocument/2006/relationships/hyperlink" Target="consultantplus://offline/ref=FF247F84B365614DBDFDB14F202B69955CC1FAD73C7C8B07083DBF699898C9C31651E1899A95F4D9EFDE471BlFM2F" TargetMode="External"/><Relationship Id="rId30" Type="http://schemas.openxmlformats.org/officeDocument/2006/relationships/hyperlink" Target="consultantplus://offline/ref=FF247F84B365614DBDFDB14F202B69955CC1FAD73C7C8B07083DBF699898C9C31651E1899A95F4D9EFDE471BlF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3353</Words>
  <Characters>19115</Characters>
  <Application>Microsoft Office Word</Application>
  <DocSecurity>0</DocSecurity>
  <Lines>159</Lines>
  <Paragraphs>44</Paragraphs>
  <ScaleCrop>false</ScaleCrop>
  <Company>Microsoft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2018-11-29T05:12:00Z</dcterms:created>
  <dcterms:modified xsi:type="dcterms:W3CDTF">2018-11-29T05:13:00Z</dcterms:modified>
</cp:coreProperties>
</file>