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A" w:rsidRPr="000E307B" w:rsidRDefault="000A089A" w:rsidP="000A089A">
      <w:pPr>
        <w:jc w:val="right"/>
        <w:rPr>
          <w:b/>
          <w:sz w:val="32"/>
        </w:rPr>
      </w:pPr>
    </w:p>
    <w:p w:rsidR="000A089A" w:rsidRPr="000E307B" w:rsidRDefault="000A089A" w:rsidP="000A089A">
      <w:pPr>
        <w:jc w:val="right"/>
        <w:rPr>
          <w:b/>
          <w:sz w:val="32"/>
        </w:rPr>
      </w:pPr>
      <w:r w:rsidRPr="000E307B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-304165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D34" w:rsidRPr="000E307B" w:rsidRDefault="00E86D34" w:rsidP="00E86D34">
      <w:pPr>
        <w:pStyle w:val="ConsPlusNonformat"/>
        <w:widowControl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</w:p>
    <w:p w:rsidR="00E86D34" w:rsidRPr="000E307B" w:rsidRDefault="00E86D34" w:rsidP="00E86D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89A" w:rsidRPr="000E307B" w:rsidRDefault="000A089A" w:rsidP="00E86D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7B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0A089A" w:rsidRPr="000E307B" w:rsidRDefault="000A089A" w:rsidP="00E86D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7B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p w:rsidR="000A089A" w:rsidRPr="000E307B" w:rsidRDefault="000A089A" w:rsidP="00E86D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7B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0A089A" w:rsidRPr="000E307B" w:rsidTr="00E86D34">
        <w:trPr>
          <w:trHeight w:val="141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089A" w:rsidRPr="000E307B" w:rsidRDefault="000A089A" w:rsidP="00E86D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089A" w:rsidRPr="000E307B" w:rsidRDefault="000A089A" w:rsidP="00E86D34">
      <w:pPr>
        <w:pStyle w:val="a9"/>
        <w:rPr>
          <w:sz w:val="28"/>
          <w:szCs w:val="28"/>
        </w:rPr>
      </w:pPr>
      <w:r w:rsidRPr="000E307B">
        <w:rPr>
          <w:sz w:val="28"/>
          <w:szCs w:val="28"/>
        </w:rPr>
        <w:t xml:space="preserve">« </w:t>
      </w:r>
      <w:r w:rsidR="00411018">
        <w:rPr>
          <w:sz w:val="28"/>
          <w:szCs w:val="28"/>
        </w:rPr>
        <w:t xml:space="preserve">19   »  марта  </w:t>
      </w:r>
      <w:r w:rsidRPr="000E307B">
        <w:rPr>
          <w:sz w:val="28"/>
          <w:szCs w:val="28"/>
        </w:rPr>
        <w:t xml:space="preserve">2021 года                                                                                      № </w:t>
      </w:r>
      <w:r w:rsidR="00411018">
        <w:rPr>
          <w:sz w:val="28"/>
          <w:szCs w:val="28"/>
        </w:rPr>
        <w:t>7</w:t>
      </w:r>
    </w:p>
    <w:p w:rsidR="000A089A" w:rsidRPr="000E307B" w:rsidRDefault="000A089A" w:rsidP="00E86D34">
      <w:pPr>
        <w:pStyle w:val="a9"/>
        <w:rPr>
          <w:sz w:val="28"/>
          <w:szCs w:val="28"/>
        </w:rPr>
      </w:pPr>
    </w:p>
    <w:p w:rsidR="00F53207" w:rsidRPr="000E307B" w:rsidRDefault="000A089A" w:rsidP="00E86D34">
      <w:pPr>
        <w:pStyle w:val="a9"/>
        <w:jc w:val="center"/>
        <w:rPr>
          <w:sz w:val="28"/>
          <w:szCs w:val="28"/>
        </w:rPr>
      </w:pPr>
      <w:r w:rsidRPr="000E307B">
        <w:rPr>
          <w:sz w:val="28"/>
          <w:szCs w:val="28"/>
        </w:rPr>
        <w:t>п. Пелым</w:t>
      </w:r>
    </w:p>
    <w:p w:rsidR="00E86D34" w:rsidRPr="000E307B" w:rsidRDefault="00E86D34" w:rsidP="00E86D34">
      <w:pPr>
        <w:pStyle w:val="a9"/>
        <w:jc w:val="center"/>
        <w:rPr>
          <w:sz w:val="28"/>
          <w:szCs w:val="28"/>
        </w:rPr>
      </w:pPr>
    </w:p>
    <w:p w:rsidR="0053256E" w:rsidRPr="000E307B" w:rsidRDefault="0053256E" w:rsidP="00E86D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7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E307B">
        <w:rPr>
          <w:rFonts w:ascii="Times New Roman" w:hAnsi="Times New Roman" w:cs="Times New Roman"/>
          <w:b/>
          <w:sz w:val="28"/>
          <w:szCs w:val="28"/>
        </w:rPr>
        <w:t>Порядка санкционирования оплаты денежных обязательств получателей средств местного бюджета</w:t>
      </w:r>
      <w:proofErr w:type="gramEnd"/>
      <w:r w:rsidRPr="000E307B">
        <w:rPr>
          <w:rFonts w:ascii="Times New Roman" w:hAnsi="Times New Roman" w:cs="Times New Roman"/>
          <w:b/>
          <w:sz w:val="28"/>
          <w:szCs w:val="28"/>
        </w:rPr>
        <w:t xml:space="preserve"> и администраторов источников финансирования дефицита местного бюджета</w:t>
      </w:r>
    </w:p>
    <w:p w:rsidR="000A089A" w:rsidRPr="000E307B" w:rsidRDefault="000A089A" w:rsidP="00E8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89A" w:rsidRPr="000E307B" w:rsidRDefault="0053256E" w:rsidP="00E86D34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0E3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0E3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</w:t>
      </w:r>
      <w:hyperlink r:id="rId11" w:history="1">
        <w:r w:rsidRPr="000E3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Свердловской области от 01.03.2021 № 65 «Об утверждении </w:t>
      </w:r>
      <w:proofErr w:type="gramStart"/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санкционирования оплаты денежных обязательств получателей средств областного бюджета</w:t>
      </w:r>
      <w:proofErr w:type="gramEnd"/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областного бюджета»</w:t>
      </w:r>
      <w:r w:rsidR="000A089A" w:rsidRPr="000E307B">
        <w:rPr>
          <w:rFonts w:ascii="Times New Roman" w:hAnsi="Times New Roman" w:cs="Times New Roman"/>
          <w:sz w:val="28"/>
          <w:szCs w:val="28"/>
        </w:rPr>
        <w:t>,</w:t>
      </w:r>
    </w:p>
    <w:p w:rsidR="000A089A" w:rsidRPr="000E307B" w:rsidRDefault="000A089A" w:rsidP="00E86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07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805CC" w:rsidRPr="000E307B" w:rsidRDefault="0053256E" w:rsidP="00A805CC">
      <w:pPr>
        <w:pStyle w:val="ab"/>
        <w:numPr>
          <w:ilvl w:val="0"/>
          <w:numId w:val="1"/>
        </w:numPr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3" w:history="1">
        <w:r w:rsidRPr="000E3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местного бюджета</w:t>
      </w:r>
      <w:proofErr w:type="gramEnd"/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C74B95" w:rsidRPr="000E307B" w:rsidRDefault="0053256E" w:rsidP="00A805CC">
      <w:pPr>
        <w:pStyle w:val="ab"/>
        <w:numPr>
          <w:ilvl w:val="0"/>
          <w:numId w:val="1"/>
        </w:numPr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12" w:history="1">
        <w:r w:rsidRPr="000E3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 администрации городского округа Пелым от </w:t>
      </w:r>
      <w:r w:rsidR="00F53207"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3207"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3207"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3207"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hyperlink w:anchor="Par32" w:history="1">
        <w:proofErr w:type="gramStart"/>
        <w:r w:rsidR="00F53207" w:rsidRPr="000E307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F53207" w:rsidRPr="000E307B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городского округа</w:t>
      </w:r>
      <w:proofErr w:type="gramEnd"/>
      <w:r w:rsidR="00F53207" w:rsidRPr="000E307B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4B95" w:rsidRPr="000E3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5CC" w:rsidRPr="000E307B" w:rsidRDefault="000A089A" w:rsidP="00A805C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7B">
        <w:rPr>
          <w:rFonts w:ascii="Times New Roman" w:hAnsi="Times New Roman" w:cs="Times New Roman"/>
          <w:sz w:val="28"/>
          <w:szCs w:val="28"/>
        </w:rPr>
        <w:t>Настоящий приказ вступает в силу</w:t>
      </w:r>
      <w:r w:rsidR="0053256E" w:rsidRPr="000E307B">
        <w:rPr>
          <w:rFonts w:ascii="Times New Roman" w:hAnsi="Times New Roman" w:cs="Times New Roman"/>
          <w:sz w:val="28"/>
          <w:szCs w:val="28"/>
        </w:rPr>
        <w:t xml:space="preserve"> с</w:t>
      </w:r>
      <w:r w:rsidR="00402378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0E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5CC" w:rsidRPr="000E307B" w:rsidRDefault="000A089A" w:rsidP="00A805C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специалиста 1 категории по казначейскому исполнению М. В. </w:t>
      </w:r>
      <w:proofErr w:type="spellStart"/>
      <w:r w:rsidRPr="000E307B">
        <w:rPr>
          <w:rFonts w:ascii="Times New Roman" w:hAnsi="Times New Roman" w:cs="Times New Roman"/>
          <w:sz w:val="28"/>
          <w:szCs w:val="28"/>
        </w:rPr>
        <w:t>Вазетдинову</w:t>
      </w:r>
      <w:proofErr w:type="spellEnd"/>
      <w:r w:rsidRPr="000E307B">
        <w:rPr>
          <w:rFonts w:ascii="Times New Roman" w:hAnsi="Times New Roman" w:cs="Times New Roman"/>
          <w:sz w:val="28"/>
          <w:szCs w:val="28"/>
        </w:rPr>
        <w:t>.</w:t>
      </w:r>
    </w:p>
    <w:p w:rsidR="000A089A" w:rsidRPr="000E307B" w:rsidRDefault="000A089A" w:rsidP="00A805CC">
      <w:pPr>
        <w:pStyle w:val="a9"/>
        <w:tabs>
          <w:tab w:val="left" w:pos="3420"/>
        </w:tabs>
        <w:ind w:firstLine="728"/>
        <w:rPr>
          <w:bCs/>
          <w:sz w:val="28"/>
          <w:szCs w:val="28"/>
        </w:rPr>
      </w:pPr>
    </w:p>
    <w:p w:rsidR="00E86D34" w:rsidRPr="000E307B" w:rsidRDefault="00E86D34" w:rsidP="00E86D34">
      <w:pPr>
        <w:pStyle w:val="a9"/>
        <w:tabs>
          <w:tab w:val="left" w:pos="3420"/>
        </w:tabs>
        <w:rPr>
          <w:bCs/>
          <w:sz w:val="28"/>
          <w:szCs w:val="28"/>
        </w:rPr>
      </w:pPr>
    </w:p>
    <w:p w:rsidR="00E86D34" w:rsidRPr="000E307B" w:rsidRDefault="00E86D34" w:rsidP="00E86D34">
      <w:pPr>
        <w:pStyle w:val="a9"/>
        <w:tabs>
          <w:tab w:val="left" w:pos="3420"/>
        </w:tabs>
        <w:rPr>
          <w:bCs/>
          <w:sz w:val="28"/>
          <w:szCs w:val="28"/>
        </w:rPr>
      </w:pPr>
    </w:p>
    <w:p w:rsidR="000A089A" w:rsidRPr="000E307B" w:rsidRDefault="000A089A" w:rsidP="00E86D34">
      <w:pPr>
        <w:pStyle w:val="a9"/>
        <w:tabs>
          <w:tab w:val="left" w:pos="3420"/>
        </w:tabs>
        <w:rPr>
          <w:bCs/>
          <w:sz w:val="28"/>
          <w:szCs w:val="28"/>
        </w:rPr>
      </w:pPr>
      <w:r w:rsidRPr="000E307B">
        <w:rPr>
          <w:bCs/>
          <w:sz w:val="28"/>
          <w:szCs w:val="28"/>
        </w:rPr>
        <w:t xml:space="preserve">Начальник финансового отдела </w:t>
      </w:r>
    </w:p>
    <w:p w:rsidR="00185D50" w:rsidRPr="000E307B" w:rsidRDefault="000A089A" w:rsidP="00E86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</w:t>
      </w:r>
      <w:r w:rsidRPr="000E307B">
        <w:rPr>
          <w:rFonts w:ascii="Times New Roman" w:hAnsi="Times New Roman" w:cs="Times New Roman"/>
          <w:b/>
          <w:sz w:val="28"/>
          <w:szCs w:val="28"/>
        </w:rPr>
        <w:t xml:space="preserve">округа Пелым                           </w:t>
      </w:r>
      <w:r w:rsidR="00C74B95" w:rsidRPr="000E30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E307B">
        <w:rPr>
          <w:rFonts w:ascii="Times New Roman" w:hAnsi="Times New Roman" w:cs="Times New Roman"/>
          <w:b/>
          <w:sz w:val="28"/>
          <w:szCs w:val="28"/>
        </w:rPr>
        <w:t xml:space="preserve">   Е.А. </w:t>
      </w:r>
      <w:proofErr w:type="spellStart"/>
      <w:r w:rsidRPr="000E307B">
        <w:rPr>
          <w:rFonts w:ascii="Times New Roman" w:hAnsi="Times New Roman" w:cs="Times New Roman"/>
          <w:b/>
          <w:sz w:val="28"/>
          <w:szCs w:val="28"/>
        </w:rPr>
        <w:t>Смертин</w:t>
      </w:r>
      <w:r w:rsidR="00E86D34" w:rsidRPr="000E307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E86D34" w:rsidRPr="000E307B" w:rsidRDefault="00E86D34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34" w:rsidRPr="000E307B" w:rsidRDefault="00E86D34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34" w:rsidRPr="000E307B" w:rsidRDefault="00E86D34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34" w:rsidRPr="000E307B" w:rsidRDefault="00E86D34" w:rsidP="00C7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95" w:rsidRPr="000E307B" w:rsidRDefault="00C74B95" w:rsidP="00C7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34" w:rsidRDefault="00E86D34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30" w:rsidRDefault="003F4D30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30" w:rsidRPr="000E307B" w:rsidRDefault="003F4D30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02" w:rsidRDefault="00E61202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60" w:rsidRPr="000E307B" w:rsidRDefault="00437A60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437A60" w:rsidRPr="000E307B" w:rsidRDefault="00437A60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Финансового </w:t>
      </w:r>
      <w:r w:rsidR="00581B3C"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</w:p>
    <w:p w:rsidR="00437A60" w:rsidRPr="000E307B" w:rsidRDefault="00581B3C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7A60"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437A60" w:rsidRPr="000E307B" w:rsidRDefault="00581B3C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37A60"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A60"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Пелым</w:t>
      </w:r>
    </w:p>
    <w:p w:rsidR="00437A60" w:rsidRPr="000E307B" w:rsidRDefault="00437A60" w:rsidP="004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6D66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</w:t>
      </w:r>
      <w:r w:rsidR="00131102"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8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9F7FCC"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43882" w:rsidRPr="000E307B" w:rsidRDefault="00243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437A60" w:rsidRPr="000E307B" w:rsidRDefault="00871F41" w:rsidP="00437A60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hyperlink w:anchor="P33" w:history="1">
        <w:r w:rsidR="00437A60" w:rsidRPr="000E307B">
          <w:rPr>
            <w:rFonts w:ascii="Times New Roman" w:hAnsi="Times New Roman" w:cs="Times New Roman"/>
            <w:sz w:val="27"/>
            <w:szCs w:val="27"/>
          </w:rPr>
          <w:t>Порядок</w:t>
        </w:r>
      </w:hyperlink>
    </w:p>
    <w:p w:rsidR="00437A60" w:rsidRPr="000E307B" w:rsidRDefault="00437A60" w:rsidP="00437A60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0E307B">
        <w:rPr>
          <w:rFonts w:ascii="Times New Roman" w:hAnsi="Times New Roman" w:cs="Times New Roman"/>
          <w:sz w:val="27"/>
          <w:szCs w:val="27"/>
        </w:rPr>
        <w:t xml:space="preserve"> санкционирования </w:t>
      </w:r>
      <w:proofErr w:type="gramStart"/>
      <w:r w:rsidRPr="000E307B">
        <w:rPr>
          <w:rFonts w:ascii="Times New Roman" w:hAnsi="Times New Roman" w:cs="Times New Roman"/>
          <w:sz w:val="27"/>
          <w:szCs w:val="27"/>
        </w:rPr>
        <w:t>оплаты денежных обязательств получателей средств местного бюджета</w:t>
      </w:r>
      <w:proofErr w:type="gramEnd"/>
      <w:r w:rsidRPr="000E307B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</w:t>
      </w:r>
    </w:p>
    <w:p w:rsidR="00437A60" w:rsidRPr="000E307B" w:rsidRDefault="00437A60" w:rsidP="00437A60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0E307B">
        <w:rPr>
          <w:rFonts w:ascii="Times New Roman" w:hAnsi="Times New Roman" w:cs="Times New Roman"/>
          <w:sz w:val="27"/>
          <w:szCs w:val="27"/>
        </w:rPr>
        <w:t xml:space="preserve"> исполнению за счет бюджетных ассигнований по источникам </w:t>
      </w:r>
    </w:p>
    <w:p w:rsidR="00437A60" w:rsidRPr="000E307B" w:rsidRDefault="00437A60" w:rsidP="00437A60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0E307B">
        <w:rPr>
          <w:rFonts w:ascii="Times New Roman" w:hAnsi="Times New Roman" w:cs="Times New Roman"/>
          <w:sz w:val="27"/>
          <w:szCs w:val="27"/>
        </w:rPr>
        <w:t>финансирования дефицита местного бюджета</w:t>
      </w:r>
    </w:p>
    <w:p w:rsidR="00437A60" w:rsidRPr="000E307B" w:rsidRDefault="00437A60" w:rsidP="00E61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50" w:rsidRPr="000E307B" w:rsidRDefault="00185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санкционирования </w:t>
      </w:r>
      <w:r w:rsidR="00C955F9" w:rsidRPr="000E307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Пелым (далее </w:t>
      </w:r>
      <w:proofErr w:type="gramStart"/>
      <w:r w:rsidR="00C955F9" w:rsidRPr="000E307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C955F9" w:rsidRPr="000E307B">
        <w:rPr>
          <w:rFonts w:ascii="Times New Roman" w:hAnsi="Times New Roman" w:cs="Times New Roman"/>
          <w:sz w:val="28"/>
          <w:szCs w:val="28"/>
        </w:rPr>
        <w:t>инансовый отдел)</w:t>
      </w:r>
      <w:r w:rsidRPr="000E307B">
        <w:rPr>
          <w:rFonts w:ascii="Times New Roman" w:hAnsi="Times New Roman" w:cs="Times New Roman"/>
          <w:sz w:val="28"/>
          <w:szCs w:val="28"/>
        </w:rPr>
        <w:t xml:space="preserve"> оплаты за счет средств </w:t>
      </w:r>
      <w:r w:rsidR="00437A60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денежных обязательств получателей средств </w:t>
      </w:r>
      <w:r w:rsidR="00437A60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437A60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получатели средств </w:t>
      </w:r>
      <w:r w:rsidR="00437A60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(администраторы источников финансирования дефицита </w:t>
      </w:r>
      <w:r w:rsidR="00437A60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 представляют в </w:t>
      </w:r>
      <w:r w:rsidR="00437A60" w:rsidRPr="000E307B">
        <w:rPr>
          <w:rFonts w:ascii="Times New Roman" w:hAnsi="Times New Roman" w:cs="Times New Roman"/>
          <w:sz w:val="28"/>
          <w:szCs w:val="28"/>
        </w:rPr>
        <w:t>Финансов</w:t>
      </w:r>
      <w:r w:rsidR="00C955F9" w:rsidRPr="000E307B">
        <w:rPr>
          <w:rFonts w:ascii="Times New Roman" w:hAnsi="Times New Roman" w:cs="Times New Roman"/>
          <w:sz w:val="28"/>
          <w:szCs w:val="28"/>
        </w:rPr>
        <w:t>ый отдел</w:t>
      </w:r>
      <w:r w:rsidRPr="000E307B">
        <w:rPr>
          <w:rFonts w:ascii="Times New Roman" w:hAnsi="Times New Roman" w:cs="Times New Roman"/>
          <w:sz w:val="28"/>
          <w:szCs w:val="28"/>
        </w:rPr>
        <w:t xml:space="preserve"> платежные поручения в соответствии с порядком казначейского обслуживания, установленным Федеральным казначейством.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Одно платежное поручение может содержать несколько сумм перечислений по разным кодам расходов бюджетной классификации (классификации источников финансирования дефицитов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 в рамках одного денежного обязательства получателя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185D50" w:rsidRPr="000E307B" w:rsidRDefault="00A726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П</w:t>
      </w:r>
      <w:r w:rsidR="00185D50" w:rsidRPr="000E307B">
        <w:rPr>
          <w:rFonts w:ascii="Times New Roman" w:hAnsi="Times New Roman" w:cs="Times New Roman"/>
          <w:sz w:val="28"/>
          <w:szCs w:val="28"/>
        </w:rPr>
        <w:t>латежные поручения представляются на бумажном носителе в двух экземплярах с одновременным представлением в электронном виде (далее - бумажный носитель).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Платежные поручения на бумажном носителе подписываются руководителем и главным бухгалтером (иными уполномоченными руководителем лицами) получателя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бюджета, администратора источников финансирования дефицита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При предоставлении в </w:t>
      </w:r>
      <w:r w:rsidR="00D30C49" w:rsidRPr="000E307B">
        <w:rPr>
          <w:rFonts w:ascii="Times New Roman" w:hAnsi="Times New Roman" w:cs="Times New Roman"/>
          <w:sz w:val="28"/>
          <w:szCs w:val="28"/>
        </w:rPr>
        <w:t>Финансов</w:t>
      </w:r>
      <w:r w:rsidR="00A7268E" w:rsidRPr="000E307B">
        <w:rPr>
          <w:rFonts w:ascii="Times New Roman" w:hAnsi="Times New Roman" w:cs="Times New Roman"/>
          <w:sz w:val="28"/>
          <w:szCs w:val="28"/>
        </w:rPr>
        <w:t>ый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</w:t>
      </w:r>
      <w:r w:rsidRPr="000E307B">
        <w:rPr>
          <w:rFonts w:ascii="Times New Roman" w:hAnsi="Times New Roman" w:cs="Times New Roman"/>
          <w:sz w:val="28"/>
          <w:szCs w:val="28"/>
        </w:rPr>
        <w:t xml:space="preserve"> платежных поручений на бумажном носителе 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отделом</w:t>
      </w:r>
      <w:r w:rsidRPr="000E307B">
        <w:rPr>
          <w:rFonts w:ascii="Times New Roman" w:hAnsi="Times New Roman" w:cs="Times New Roman"/>
          <w:sz w:val="28"/>
          <w:szCs w:val="28"/>
        </w:rPr>
        <w:t xml:space="preserve"> дополнительно производится проверка на соответствие подписей руководителя и главного бухгалтера (иных уполномоченных руководителем лиц) имеющимся образцам, представленным получателем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(администратором источников финансирования дефицита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 в порядке, установленном 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отделом</w:t>
      </w:r>
      <w:r w:rsidRPr="000E307B">
        <w:rPr>
          <w:rFonts w:ascii="Times New Roman" w:hAnsi="Times New Roman" w:cs="Times New Roman"/>
          <w:sz w:val="28"/>
          <w:szCs w:val="28"/>
        </w:rPr>
        <w:t xml:space="preserve"> для открытия соответствующего лицевого счета.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E307B">
        <w:rPr>
          <w:rFonts w:ascii="Times New Roman" w:hAnsi="Times New Roman" w:cs="Times New Roman"/>
          <w:sz w:val="28"/>
          <w:szCs w:val="28"/>
        </w:rPr>
        <w:t xml:space="preserve">3. Санкционирование оплаты денежных обязательств осуществляется в </w:t>
      </w:r>
      <w:r w:rsidRPr="000E307B"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с момента представления платежных поручений и документов, предусмотренных настоящим порядком, в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7268E" w:rsidRPr="000E307B">
        <w:rPr>
          <w:rFonts w:ascii="Times New Roman" w:hAnsi="Times New Roman" w:cs="Times New Roman"/>
          <w:sz w:val="28"/>
          <w:szCs w:val="28"/>
        </w:rPr>
        <w:t>ый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</w:t>
      </w:r>
      <w:r w:rsidRPr="000E307B">
        <w:rPr>
          <w:rFonts w:ascii="Times New Roman" w:hAnsi="Times New Roman" w:cs="Times New Roman"/>
          <w:sz w:val="28"/>
          <w:szCs w:val="28"/>
        </w:rPr>
        <w:t>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0E307B">
        <w:rPr>
          <w:rFonts w:ascii="Times New Roman" w:hAnsi="Times New Roman" w:cs="Times New Roman"/>
          <w:sz w:val="28"/>
          <w:szCs w:val="28"/>
        </w:rPr>
        <w:t xml:space="preserve">4. </w:t>
      </w:r>
      <w:r w:rsidR="00D30C49" w:rsidRPr="000E307B">
        <w:rPr>
          <w:rFonts w:ascii="Times New Roman" w:hAnsi="Times New Roman" w:cs="Times New Roman"/>
          <w:sz w:val="28"/>
          <w:szCs w:val="28"/>
        </w:rPr>
        <w:t>Финансов</w:t>
      </w:r>
      <w:r w:rsidR="009F7FCC" w:rsidRPr="000E307B">
        <w:rPr>
          <w:rFonts w:ascii="Times New Roman" w:hAnsi="Times New Roman" w:cs="Times New Roman"/>
          <w:sz w:val="28"/>
          <w:szCs w:val="28"/>
        </w:rPr>
        <w:t>ый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9F7FCC" w:rsidRPr="000E307B">
        <w:rPr>
          <w:rFonts w:ascii="Times New Roman" w:hAnsi="Times New Roman" w:cs="Times New Roman"/>
          <w:sz w:val="28"/>
          <w:szCs w:val="28"/>
        </w:rPr>
        <w:t>отдел</w:t>
      </w:r>
      <w:r w:rsidRPr="000E307B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</w:t>
      </w:r>
      <w:hyperlink w:anchor="P47" w:history="1">
        <w:r w:rsidRPr="000E307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платежные поручения на соответствие установленной форме, наличие в них реквизитов и показателей, предусмотренных </w:t>
      </w:r>
      <w:hyperlink w:anchor="P49" w:history="1">
        <w:r w:rsidRPr="000E307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61" w:history="1">
        <w:r w:rsidRPr="000E307B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требованиям, установленным </w:t>
      </w:r>
      <w:hyperlink w:anchor="P66" w:history="1">
        <w:r w:rsidRPr="000E307B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0E307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0E307B">
        <w:rPr>
          <w:rFonts w:ascii="Times New Roman" w:hAnsi="Times New Roman" w:cs="Times New Roman"/>
          <w:sz w:val="28"/>
          <w:szCs w:val="28"/>
        </w:rPr>
        <w:t xml:space="preserve">5. Платежные поручения проверяются с учетом положений </w:t>
      </w:r>
      <w:hyperlink w:anchor="P59" w:history="1">
        <w:r w:rsidRPr="000E307B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0E307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них следующих реквизитов и показателей: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1) кодов классификации расходов бюджета (классификации источников финансирования дефицита бюджета), по которым необходимо произвести перечисление, номера лицевого счета получателя средств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E307B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бюджета), а также текстового назначения платежа;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2)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по платежному поручению;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3) номера учтенного в 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отделе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(при наличии);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4) признака авансового платежа "АП", если платеж является авансовым;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5) номера дебетовой банковской карты и фамилии, имени, отчества ее владельца (при обеспечении клиентов денежными средствами, предназначенными для осуществления расчетов по операциям, совершаемым с использованием платежных карт);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информации, идентифицирующей плательщика, получателя сре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>аспоряжениях о переводе денежных средств в уплату платежей в бюджетную систему Российской Федерации;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7) суммы налога на добавленную стоимость (при наличии);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8) реквизитов (номер, дата) документов (договора, </w:t>
      </w:r>
      <w:r w:rsidR="00D30C49" w:rsidRPr="000E30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бюджета, предоставляемых получателями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при постановке на учет бюджетных обязательств в соответствии с порядком учета бюджетных обязательств получателей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отделом а</w:t>
      </w:r>
      <w:r w:rsidR="00D30C49" w:rsidRPr="000E307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A7268E" w:rsidRPr="000E307B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E307B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отделом</w:t>
      </w:r>
      <w:r w:rsidRPr="000E307B">
        <w:rPr>
          <w:rFonts w:ascii="Times New Roman" w:hAnsi="Times New Roman" w:cs="Times New Roman"/>
          <w:sz w:val="28"/>
          <w:szCs w:val="28"/>
        </w:rPr>
        <w:t xml:space="preserve"> (далее - документ-основание);</w:t>
      </w:r>
      <w:proofErr w:type="gramEnd"/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proofErr w:type="gramStart"/>
      <w:r w:rsidRPr="000E307B">
        <w:rPr>
          <w:rFonts w:ascii="Times New Roman" w:hAnsi="Times New Roman" w:cs="Times New Roman"/>
          <w:sz w:val="28"/>
          <w:szCs w:val="28"/>
        </w:rPr>
        <w:lastRenderedPageBreak/>
        <w:t xml:space="preserve">9) реквизитов (тип, номер, дата) документов, подтверждающих возникновение денежного обязательства, предусмотренных порядком учета денежных обязательств получателей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отделом а</w:t>
      </w:r>
      <w:r w:rsidR="00D30C49" w:rsidRPr="000E307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A7268E" w:rsidRPr="000E307B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, установленным Финансовым </w:t>
      </w:r>
      <w:r w:rsidR="00A7268E" w:rsidRPr="000E307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E307B">
        <w:rPr>
          <w:rFonts w:ascii="Times New Roman" w:hAnsi="Times New Roman" w:cs="Times New Roman"/>
          <w:sz w:val="28"/>
          <w:szCs w:val="28"/>
        </w:rPr>
        <w:t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D30C49" w:rsidRPr="000E30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307B">
        <w:rPr>
          <w:rFonts w:ascii="Times New Roman" w:hAnsi="Times New Roman" w:cs="Times New Roman"/>
          <w:sz w:val="28"/>
          <w:szCs w:val="28"/>
        </w:rPr>
        <w:t>контракта), внесения арендной платы по договору (</w:t>
      </w:r>
      <w:r w:rsidR="00D30C49" w:rsidRPr="000E307B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 xml:space="preserve"> контракту), если условиями </w:t>
      </w:r>
      <w:r w:rsidR="00D30C49" w:rsidRPr="000E307B">
        <w:rPr>
          <w:rFonts w:ascii="Times New Roman" w:hAnsi="Times New Roman" w:cs="Times New Roman"/>
          <w:sz w:val="28"/>
          <w:szCs w:val="28"/>
        </w:rPr>
        <w:t>таких договоров (муниципальных</w:t>
      </w:r>
      <w:r w:rsidRPr="000E307B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>и осуществлении авансовых платежей (внесении арендной платы).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0E30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57" w:history="1">
        <w:r w:rsidRPr="000E307B">
          <w:rPr>
            <w:rFonts w:ascii="Times New Roman" w:hAnsi="Times New Roman" w:cs="Times New Roman"/>
            <w:sz w:val="28"/>
            <w:szCs w:val="28"/>
          </w:rPr>
          <w:t>подпунктов 8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0E307B">
          <w:rPr>
            <w:rFonts w:ascii="Times New Roman" w:hAnsi="Times New Roman" w:cs="Times New Roman"/>
            <w:sz w:val="28"/>
            <w:szCs w:val="28"/>
          </w:rPr>
          <w:t>9 пункта 5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платежных поручений на перечисление средств получателям средств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бюджета, осуществляющим в соответствии с бюджетным законодательством Российской Федерации операции со средствами </w:t>
      </w:r>
      <w:r w:rsidR="00D30C4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(в том числе в иностранной валюте) на счетах, открытых им в учреждении Центрального банка Российской Федерации или кредитной организации.</w:t>
      </w:r>
      <w:proofErr w:type="gramEnd"/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 w:rsidRPr="000E307B"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57" w:history="1">
        <w:r w:rsidRPr="000E307B">
          <w:rPr>
            <w:rFonts w:ascii="Times New Roman" w:hAnsi="Times New Roman" w:cs="Times New Roman"/>
            <w:sz w:val="28"/>
            <w:szCs w:val="28"/>
          </w:rPr>
          <w:t>подпункта 8 пункта 5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платежных поручений при оплате товаров, выполнении работ, оказании услуг в случаях, когда заключение договора (</w:t>
      </w:r>
      <w:r w:rsidR="005B576D" w:rsidRPr="000E30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5B576D" w:rsidRPr="000E307B">
        <w:rPr>
          <w:rFonts w:ascii="Times New Roman" w:hAnsi="Times New Roman" w:cs="Times New Roman"/>
          <w:sz w:val="28"/>
          <w:szCs w:val="28"/>
        </w:rPr>
        <w:t>муниципальных</w:t>
      </w:r>
      <w:r w:rsidRPr="000E307B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5B576D" w:rsidRPr="000E307B">
        <w:rPr>
          <w:rFonts w:ascii="Times New Roman" w:hAnsi="Times New Roman" w:cs="Times New Roman"/>
          <w:sz w:val="28"/>
          <w:szCs w:val="28"/>
        </w:rPr>
        <w:t>муниципальный</w:t>
      </w:r>
      <w:r w:rsidRPr="000E307B">
        <w:rPr>
          <w:rFonts w:ascii="Times New Roman" w:hAnsi="Times New Roman" w:cs="Times New Roman"/>
          <w:sz w:val="28"/>
          <w:szCs w:val="28"/>
        </w:rPr>
        <w:t xml:space="preserve"> контракт)) законодательством Российской Федерации не предусмотрено.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0E307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получатель средств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представляет в </w:t>
      </w:r>
      <w:r w:rsidR="005B576D" w:rsidRPr="000E307B">
        <w:rPr>
          <w:rFonts w:ascii="Times New Roman" w:hAnsi="Times New Roman" w:cs="Times New Roman"/>
          <w:sz w:val="28"/>
          <w:szCs w:val="28"/>
        </w:rPr>
        <w:t>Финансов</w:t>
      </w:r>
      <w:r w:rsidR="00A7268E" w:rsidRPr="000E307B">
        <w:rPr>
          <w:rFonts w:ascii="Times New Roman" w:hAnsi="Times New Roman" w:cs="Times New Roman"/>
          <w:sz w:val="28"/>
          <w:szCs w:val="28"/>
        </w:rPr>
        <w:t>ый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A7268E" w:rsidRPr="000E307B">
        <w:rPr>
          <w:rFonts w:ascii="Times New Roman" w:hAnsi="Times New Roman" w:cs="Times New Roman"/>
          <w:sz w:val="28"/>
          <w:szCs w:val="28"/>
        </w:rPr>
        <w:t>отдел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Pr="000E307B">
        <w:rPr>
          <w:rFonts w:ascii="Times New Roman" w:hAnsi="Times New Roman" w:cs="Times New Roman"/>
          <w:sz w:val="28"/>
          <w:szCs w:val="28"/>
        </w:rPr>
        <w:t xml:space="preserve">вместе с платежными поручениями на перечисление указанный в них в соответствии с </w:t>
      </w:r>
      <w:hyperlink w:anchor="P58" w:history="1">
        <w:r w:rsidRPr="000E307B">
          <w:rPr>
            <w:rFonts w:ascii="Times New Roman" w:hAnsi="Times New Roman" w:cs="Times New Roman"/>
            <w:sz w:val="28"/>
            <w:szCs w:val="28"/>
          </w:rPr>
          <w:t>подпунктом 9 пункта 5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 учетом требований, установленных </w:t>
      </w:r>
      <w:hyperlink w:anchor="P65" w:history="1">
        <w:r w:rsidRPr="000E307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 xml:space="preserve"> электронной цифровой подписью уполномоченного лица получателя средств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(далее - электронная копия документа).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r w:rsidR="005B576D" w:rsidRPr="000E307B">
        <w:rPr>
          <w:rFonts w:ascii="Times New Roman" w:hAnsi="Times New Roman" w:cs="Times New Roman"/>
          <w:sz w:val="28"/>
          <w:szCs w:val="28"/>
        </w:rPr>
        <w:t>ср</w:t>
      </w:r>
      <w:r w:rsidRPr="000E307B">
        <w:rPr>
          <w:rFonts w:ascii="Times New Roman" w:hAnsi="Times New Roman" w:cs="Times New Roman"/>
          <w:sz w:val="28"/>
          <w:szCs w:val="28"/>
        </w:rPr>
        <w:t xml:space="preserve">едств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Прилагаемый документ, подтверждающий возникновение денежного обязательства, на бумажном носителе подлежит возврату на руки уполномоченному представителю получателя средств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 после </w:t>
      </w:r>
      <w:r w:rsidRPr="000E307B">
        <w:rPr>
          <w:rFonts w:ascii="Times New Roman" w:hAnsi="Times New Roman" w:cs="Times New Roman"/>
          <w:sz w:val="28"/>
          <w:szCs w:val="28"/>
        </w:rPr>
        <w:lastRenderedPageBreak/>
        <w:t xml:space="preserve">проверки 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837E91" w:rsidRPr="000E307B">
        <w:rPr>
          <w:rFonts w:ascii="Times New Roman" w:hAnsi="Times New Roman" w:cs="Times New Roman"/>
          <w:sz w:val="28"/>
          <w:szCs w:val="28"/>
        </w:rPr>
        <w:t>отделом</w:t>
      </w:r>
      <w:r w:rsidRPr="000E307B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</w:t>
      </w:r>
      <w:hyperlink w:anchor="P47" w:history="1">
        <w:r w:rsidRPr="000E307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Проверка правильности применения расценок и коэффициентов в сметах и актах выполненных работ на проведение ремонтных и строительных работ и проверка соответствия фактического объема выполненных работ, указанных в актах, на </w:t>
      </w:r>
      <w:r w:rsidR="005B576D" w:rsidRPr="000E307B">
        <w:rPr>
          <w:rFonts w:ascii="Times New Roman" w:hAnsi="Times New Roman" w:cs="Times New Roman"/>
          <w:sz w:val="28"/>
          <w:szCs w:val="28"/>
        </w:rPr>
        <w:t>Финансов</w:t>
      </w:r>
      <w:r w:rsidR="00837E91" w:rsidRPr="000E307B">
        <w:rPr>
          <w:rFonts w:ascii="Times New Roman" w:hAnsi="Times New Roman" w:cs="Times New Roman"/>
          <w:sz w:val="28"/>
          <w:szCs w:val="28"/>
        </w:rPr>
        <w:t>ый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837E91" w:rsidRPr="000E307B">
        <w:rPr>
          <w:rFonts w:ascii="Times New Roman" w:hAnsi="Times New Roman" w:cs="Times New Roman"/>
          <w:sz w:val="28"/>
          <w:szCs w:val="28"/>
        </w:rPr>
        <w:t>отдел</w:t>
      </w:r>
      <w:r w:rsidRPr="000E307B">
        <w:rPr>
          <w:rFonts w:ascii="Times New Roman" w:hAnsi="Times New Roman" w:cs="Times New Roman"/>
          <w:sz w:val="28"/>
          <w:szCs w:val="28"/>
        </w:rPr>
        <w:t xml:space="preserve"> не возлагается.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5"/>
      <w:bookmarkEnd w:id="10"/>
      <w:r w:rsidRPr="000E307B">
        <w:rPr>
          <w:rFonts w:ascii="Times New Roman" w:hAnsi="Times New Roman" w:cs="Times New Roman"/>
          <w:sz w:val="28"/>
          <w:szCs w:val="28"/>
        </w:rPr>
        <w:t>9. Если в денежном обязательстве предусмотрено, что оно подлежит оплате в валюте Российской Федерации в сумме, эквивалентной определенной сумме в иностранной валюте, производится проверка расчета суммы в рублевом эквиваленте, исчисленном на дату оформления платежного поручения.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"/>
      <w:bookmarkEnd w:id="11"/>
      <w:r w:rsidRPr="000E307B">
        <w:rPr>
          <w:rFonts w:ascii="Times New Roman" w:hAnsi="Times New Roman" w:cs="Times New Roman"/>
          <w:sz w:val="28"/>
          <w:szCs w:val="28"/>
        </w:rPr>
        <w:t xml:space="preserve">10. При санкционировании оплаты денежных обязательств по расходам (за исключением расходов по публичным нормативным обязательствам) 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837E91" w:rsidRPr="000E307B">
        <w:rPr>
          <w:rFonts w:ascii="Times New Roman" w:hAnsi="Times New Roman" w:cs="Times New Roman"/>
          <w:sz w:val="28"/>
          <w:szCs w:val="28"/>
        </w:rPr>
        <w:t>отделом</w:t>
      </w:r>
      <w:r w:rsidRPr="000E307B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платежных поручений по следующим направлениям: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1) соответствие указанных в платежных поручениях кодов классификации расходов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платежных поручений;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платежном поручении;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3) соответствие указанных в платежных поручениях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</w:t>
      </w:r>
      <w:r w:rsidR="005B576D" w:rsidRPr="000E307B">
        <w:rPr>
          <w:rFonts w:ascii="Times New Roman" w:hAnsi="Times New Roman" w:cs="Times New Roman"/>
          <w:sz w:val="28"/>
          <w:szCs w:val="28"/>
        </w:rPr>
        <w:t>,</w:t>
      </w:r>
      <w:r w:rsidRPr="000E307B">
        <w:rPr>
          <w:rFonts w:ascii="Times New Roman" w:hAnsi="Times New Roman" w:cs="Times New Roman"/>
          <w:sz w:val="28"/>
          <w:szCs w:val="28"/>
        </w:rPr>
        <w:t xml:space="preserve"> исходя из содержания текста назначения платежа, в соответствии с порядком формирования и применения кодов бюджетной классификации Российской Федерации, их структуре и принципах назначения, определенным Министерством финансов Российской Федерации;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307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E307B">
        <w:rPr>
          <w:rFonts w:ascii="Times New Roman" w:hAnsi="Times New Roman" w:cs="Times New Roman"/>
          <w:sz w:val="28"/>
          <w:szCs w:val="28"/>
        </w:rPr>
        <w:t xml:space="preserve"> сумм в платежных поручениях остатков неисполненных бюджетных обязательств, денежных обязательств, соответствующих лимитов бюджетных обязательств и предельных объемов финансирования (в случае использования предельных объемов финансирования при организации исполнении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бюджета), учтенных на лицевом счете получателя средств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E307B">
        <w:rPr>
          <w:rFonts w:ascii="Times New Roman" w:hAnsi="Times New Roman" w:cs="Times New Roman"/>
          <w:sz w:val="28"/>
          <w:szCs w:val="28"/>
        </w:rPr>
        <w:t>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5) соответствие принятых бюджетных обязательств утвержденной бюджетной смете получателя средств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E307B">
        <w:rPr>
          <w:rFonts w:ascii="Times New Roman" w:hAnsi="Times New Roman" w:cs="Times New Roman"/>
          <w:sz w:val="28"/>
          <w:szCs w:val="28"/>
        </w:rPr>
        <w:t>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6) наличие поставленного на учет документа-основания в соответствии с порядком учета бюджетных обязательств получателей средств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837E91" w:rsidRPr="000E307B">
        <w:rPr>
          <w:rFonts w:ascii="Times New Roman" w:hAnsi="Times New Roman" w:cs="Times New Roman"/>
          <w:sz w:val="28"/>
          <w:szCs w:val="28"/>
        </w:rPr>
        <w:t>отделом а</w:t>
      </w:r>
      <w:r w:rsidR="005B576D" w:rsidRPr="000E307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837E91" w:rsidRPr="000E307B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E307B">
        <w:rPr>
          <w:rFonts w:ascii="Times New Roman" w:hAnsi="Times New Roman" w:cs="Times New Roman"/>
          <w:sz w:val="28"/>
          <w:szCs w:val="28"/>
        </w:rPr>
        <w:t>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7) наличие поставленных на учет документов, подтверждающих </w:t>
      </w:r>
      <w:r w:rsidRPr="000E307B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денежных обязательств в соответствии с порядком учета денежных обязательств получателей средств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837E91" w:rsidRPr="000E307B">
        <w:rPr>
          <w:rFonts w:ascii="Times New Roman" w:hAnsi="Times New Roman" w:cs="Times New Roman"/>
          <w:sz w:val="28"/>
          <w:szCs w:val="28"/>
        </w:rPr>
        <w:t>отделом а</w:t>
      </w:r>
      <w:r w:rsidR="005B576D" w:rsidRPr="000E307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837E91" w:rsidRPr="000E307B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E307B">
        <w:rPr>
          <w:rFonts w:ascii="Times New Roman" w:hAnsi="Times New Roman" w:cs="Times New Roman"/>
          <w:sz w:val="28"/>
          <w:szCs w:val="28"/>
        </w:rPr>
        <w:t>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8) соответствие объема авансовых платежей по </w:t>
      </w:r>
      <w:r w:rsidR="005B576D" w:rsidRPr="000E307B">
        <w:rPr>
          <w:rFonts w:ascii="Times New Roman" w:hAnsi="Times New Roman" w:cs="Times New Roman"/>
          <w:sz w:val="28"/>
          <w:szCs w:val="28"/>
        </w:rPr>
        <w:t>муниципальному</w:t>
      </w:r>
      <w:r w:rsidRPr="000E307B">
        <w:rPr>
          <w:rFonts w:ascii="Times New Roman" w:hAnsi="Times New Roman" w:cs="Times New Roman"/>
          <w:sz w:val="28"/>
          <w:szCs w:val="28"/>
        </w:rPr>
        <w:t xml:space="preserve"> контракту, договору, размеру авансовых платежей, установленному нормативными правовыми актами Российской Федерации</w:t>
      </w:r>
      <w:r w:rsidR="00D9166A" w:rsidRPr="000E307B">
        <w:rPr>
          <w:rFonts w:ascii="Times New Roman" w:hAnsi="Times New Roman" w:cs="Times New Roman"/>
          <w:sz w:val="28"/>
          <w:szCs w:val="28"/>
        </w:rPr>
        <w:t>,</w:t>
      </w:r>
      <w:r w:rsidRPr="000E307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Свердловской области</w:t>
      </w:r>
      <w:r w:rsidR="00D9166A" w:rsidRPr="000E307B">
        <w:rPr>
          <w:rFonts w:ascii="Times New Roman" w:hAnsi="Times New Roman" w:cs="Times New Roman"/>
          <w:sz w:val="28"/>
          <w:szCs w:val="28"/>
        </w:rPr>
        <w:t xml:space="preserve"> и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городского округа</w:t>
      </w:r>
      <w:r w:rsidR="00837E91" w:rsidRPr="000E307B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E307B">
        <w:rPr>
          <w:rFonts w:ascii="Times New Roman" w:hAnsi="Times New Roman" w:cs="Times New Roman"/>
          <w:sz w:val="28"/>
          <w:szCs w:val="28"/>
        </w:rPr>
        <w:t>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0E307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E307B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платежном поручении, над суммой авансового платежа по бюджетному обязательству и документу-основанию с учетом ранее осуществленных авансовых платежей;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>10) идентичность наименования, идентификационного номера налогоплательщика (ИНН) и кода причины постановки на учет (КПП) (при наличии) получателя денежных средств, указанных в платежном поручении, по бюджетному обязательству, документу-основанию и платежу;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0E307B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0E307B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в случае представления платежных поручений для оплаты денежных обязательств по договору аренды;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0E307B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0E307B">
        <w:rPr>
          <w:rFonts w:ascii="Times New Roman" w:hAnsi="Times New Roman" w:cs="Times New Roman"/>
          <w:sz w:val="28"/>
          <w:szCs w:val="28"/>
        </w:rPr>
        <w:t xml:space="preserve"> операций по лицевому счету получателя средств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E307B">
        <w:rPr>
          <w:rFonts w:ascii="Times New Roman" w:hAnsi="Times New Roman" w:cs="Times New Roman"/>
          <w:sz w:val="28"/>
          <w:szCs w:val="28"/>
        </w:rPr>
        <w:t>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 w:rsidRPr="000E307B">
        <w:rPr>
          <w:rFonts w:ascii="Times New Roman" w:hAnsi="Times New Roman" w:cs="Times New Roman"/>
          <w:sz w:val="28"/>
          <w:szCs w:val="28"/>
        </w:rPr>
        <w:t>11. При санкционировании оплаты денежных обязательств по расходам по публичным нормативным обязательствам осуществляется проверка платежных поручений по следующим направлениям: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1) соответствие указанных в платежных поручениях кодов классификации расходов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платежных поручений;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2) соответствие указанных в платежных поручениях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 исходя из содержания текста назначения платежа, в соответствии с порядком формирования и применения кодов бюджетной классификации Российской Федерации, их структуре и принципах назначения, определенным Министерством финансов Российской Федерации;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E307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E307B">
        <w:rPr>
          <w:rFonts w:ascii="Times New Roman" w:hAnsi="Times New Roman" w:cs="Times New Roman"/>
          <w:sz w:val="28"/>
          <w:szCs w:val="28"/>
        </w:rPr>
        <w:t xml:space="preserve"> сумм, указанных в платежных поручениях, над остатками соответствующих бюджетных ассигнований, и предельных объемов финансирования (в случае использования предельных объемов финансирования при организации исполнения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бюджета), учтенных на лицевом счете получателя средств</w:t>
      </w:r>
      <w:r w:rsidR="005B576D" w:rsidRPr="000E307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E307B">
        <w:rPr>
          <w:rFonts w:ascii="Times New Roman" w:hAnsi="Times New Roman" w:cs="Times New Roman"/>
          <w:sz w:val="28"/>
          <w:szCs w:val="28"/>
        </w:rPr>
        <w:t>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"/>
      <w:bookmarkEnd w:id="13"/>
      <w:r w:rsidRPr="000E307B"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денежных обязательств по выплатам по источникам финансирования дефицита </w:t>
      </w:r>
      <w:r w:rsidR="002C3794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осуществляется </w:t>
      </w:r>
      <w:r w:rsidRPr="000E307B">
        <w:rPr>
          <w:rFonts w:ascii="Times New Roman" w:hAnsi="Times New Roman" w:cs="Times New Roman"/>
          <w:sz w:val="28"/>
          <w:szCs w:val="28"/>
        </w:rPr>
        <w:lastRenderedPageBreak/>
        <w:t>проверка платежных поручений по следующим направлениям: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1) соответствие указанных в платежных поручениях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5B576D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платежных поручений;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2) соответствие указанных в платежных поручениях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формирования и применения кодов бюджетной классификации Российской Федерации, их структуре и принципах назначения, определенным Министерством финансов Российской Федерации;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E307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E307B">
        <w:rPr>
          <w:rFonts w:ascii="Times New Roman" w:hAnsi="Times New Roman" w:cs="Times New Roman"/>
          <w:sz w:val="28"/>
          <w:szCs w:val="28"/>
        </w:rPr>
        <w:t xml:space="preserve"> су</w:t>
      </w:r>
      <w:r w:rsidR="002E0EC7" w:rsidRPr="000E307B">
        <w:rPr>
          <w:rFonts w:ascii="Times New Roman" w:hAnsi="Times New Roman" w:cs="Times New Roman"/>
          <w:sz w:val="28"/>
          <w:szCs w:val="28"/>
        </w:rPr>
        <w:t>мм</w:t>
      </w:r>
      <w:r w:rsidRPr="000E307B">
        <w:rPr>
          <w:rFonts w:ascii="Times New Roman" w:hAnsi="Times New Roman" w:cs="Times New Roman"/>
          <w:sz w:val="28"/>
          <w:szCs w:val="28"/>
        </w:rPr>
        <w:t xml:space="preserve">, указанных в платежных поручениях, над суммами, утвержденными приказом </w:t>
      </w:r>
      <w:r w:rsidR="002E0EC7" w:rsidRPr="000E307B">
        <w:rPr>
          <w:rFonts w:ascii="Times New Roman" w:hAnsi="Times New Roman" w:cs="Times New Roman"/>
          <w:sz w:val="28"/>
          <w:szCs w:val="28"/>
        </w:rPr>
        <w:t>Финансов</w:t>
      </w:r>
      <w:r w:rsidR="00837E91" w:rsidRPr="000E307B">
        <w:rPr>
          <w:rFonts w:ascii="Times New Roman" w:hAnsi="Times New Roman" w:cs="Times New Roman"/>
          <w:sz w:val="28"/>
          <w:szCs w:val="28"/>
        </w:rPr>
        <w:t>ого</w:t>
      </w:r>
      <w:r w:rsidR="002E0EC7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837E91" w:rsidRPr="000E307B">
        <w:rPr>
          <w:rFonts w:ascii="Times New Roman" w:hAnsi="Times New Roman" w:cs="Times New Roman"/>
          <w:sz w:val="28"/>
          <w:szCs w:val="28"/>
        </w:rPr>
        <w:t>отдела</w:t>
      </w:r>
      <w:r w:rsidR="002E0EC7" w:rsidRPr="000E307B">
        <w:rPr>
          <w:rFonts w:ascii="Times New Roman" w:hAnsi="Times New Roman" w:cs="Times New Roman"/>
          <w:sz w:val="28"/>
          <w:szCs w:val="28"/>
        </w:rPr>
        <w:t xml:space="preserve"> 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проведении отбора заявок кредитных организаций на размещение средств </w:t>
      </w:r>
      <w:r w:rsidR="002E0EC7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="00837E91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2E0EC7" w:rsidRPr="000E307B">
        <w:rPr>
          <w:rFonts w:ascii="Times New Roman" w:hAnsi="Times New Roman" w:cs="Times New Roman"/>
          <w:sz w:val="28"/>
          <w:szCs w:val="28"/>
        </w:rPr>
        <w:t>б</w:t>
      </w:r>
      <w:r w:rsidRPr="000E307B">
        <w:rPr>
          <w:rFonts w:ascii="Times New Roman" w:hAnsi="Times New Roman" w:cs="Times New Roman"/>
          <w:sz w:val="28"/>
          <w:szCs w:val="28"/>
        </w:rPr>
        <w:t>юджета на банковских депозитах;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307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E307B">
        <w:rPr>
          <w:rFonts w:ascii="Times New Roman" w:hAnsi="Times New Roman" w:cs="Times New Roman"/>
          <w:sz w:val="28"/>
          <w:szCs w:val="28"/>
        </w:rPr>
        <w:t xml:space="preserve"> сумм, указанных в платежных поручениях, остаткам соответствующих бюджетных ассигнований, учтенных на лицевом счете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 w:rsidR="002E0EC7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0E307B">
        <w:rPr>
          <w:rFonts w:ascii="Times New Roman" w:hAnsi="Times New Roman" w:cs="Times New Roman"/>
          <w:sz w:val="28"/>
          <w:szCs w:val="28"/>
        </w:rPr>
        <w:t>.</w:t>
      </w:r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платежных поручениях, не соответствует требованиям, установленным </w:t>
      </w:r>
      <w:hyperlink w:anchor="P48" w:history="1">
        <w:r w:rsidRPr="000E307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0E307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Pr="000E307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0E307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" w:history="1">
        <w:r w:rsidRPr="000E307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46299" w:rsidRPr="000E307B">
        <w:rPr>
          <w:rFonts w:ascii="Times New Roman" w:hAnsi="Times New Roman" w:cs="Times New Roman"/>
          <w:sz w:val="28"/>
          <w:szCs w:val="28"/>
        </w:rPr>
        <w:t>Финансов</w:t>
      </w:r>
      <w:r w:rsidR="00837E91" w:rsidRPr="000E307B">
        <w:rPr>
          <w:rFonts w:ascii="Times New Roman" w:hAnsi="Times New Roman" w:cs="Times New Roman"/>
          <w:sz w:val="28"/>
          <w:szCs w:val="28"/>
        </w:rPr>
        <w:t>ый</w:t>
      </w:r>
      <w:r w:rsidR="00C46299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837E91" w:rsidRPr="000E307B">
        <w:rPr>
          <w:rFonts w:ascii="Times New Roman" w:hAnsi="Times New Roman" w:cs="Times New Roman"/>
          <w:sz w:val="28"/>
          <w:szCs w:val="28"/>
        </w:rPr>
        <w:t>отдел</w:t>
      </w:r>
      <w:r w:rsidRPr="000E307B">
        <w:rPr>
          <w:rFonts w:ascii="Times New Roman" w:hAnsi="Times New Roman" w:cs="Times New Roman"/>
          <w:sz w:val="28"/>
          <w:szCs w:val="28"/>
        </w:rPr>
        <w:t xml:space="preserve"> возвращает на руки уполномоченному представителю получателя средств </w:t>
      </w:r>
      <w:r w:rsidR="00C4629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C4629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 не позднее срока, установленного </w:t>
      </w:r>
      <w:hyperlink w:anchor="P47" w:history="1">
        <w:r w:rsidRPr="000E307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платежных поручений на бумажном носителе с указанием причины возврата.</w:t>
      </w:r>
      <w:proofErr w:type="gramEnd"/>
    </w:p>
    <w:p w:rsidR="00185D50" w:rsidRPr="000E307B" w:rsidRDefault="00185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В случае если платежные поручения представлялись в электронном виде, получателю средств </w:t>
      </w:r>
      <w:r w:rsidR="00C4629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(администратору источников финансирования </w:t>
      </w:r>
      <w:r w:rsidR="00C4629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 не позднее срока, установленного </w:t>
      </w:r>
      <w:hyperlink w:anchor="P47" w:history="1">
        <w:r w:rsidRPr="000E307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E307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C4629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уведомление в электронной форме, содержащее информацию, позволяющую идентифицировать платежное поручение, не принятое к исполнению, а также содержащее дату и причину отказа.</w:t>
      </w:r>
      <w:proofErr w:type="gramEnd"/>
    </w:p>
    <w:p w:rsidR="00E76099" w:rsidRPr="00185D50" w:rsidRDefault="00185D50" w:rsidP="00E61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07B">
        <w:rPr>
          <w:rFonts w:ascii="Times New Roman" w:hAnsi="Times New Roman" w:cs="Times New Roman"/>
          <w:sz w:val="28"/>
          <w:szCs w:val="28"/>
        </w:rPr>
        <w:t xml:space="preserve">14. При положительном результате проверки в соответствии с требованиями, установленными настоящим порядком, платежные поручения принимаются к исполнению. </w:t>
      </w:r>
      <w:proofErr w:type="gramStart"/>
      <w:r w:rsidRPr="000E307B">
        <w:rPr>
          <w:rFonts w:ascii="Times New Roman" w:hAnsi="Times New Roman" w:cs="Times New Roman"/>
          <w:sz w:val="28"/>
          <w:szCs w:val="28"/>
        </w:rPr>
        <w:t xml:space="preserve">В платежных поручениях, представленных на бумажном носителе, </w:t>
      </w:r>
      <w:r w:rsidR="00C46299" w:rsidRPr="000E307B">
        <w:rPr>
          <w:rFonts w:ascii="Times New Roman" w:hAnsi="Times New Roman" w:cs="Times New Roman"/>
          <w:sz w:val="28"/>
          <w:szCs w:val="28"/>
        </w:rPr>
        <w:t>Финансов</w:t>
      </w:r>
      <w:r w:rsidR="009F7FCC" w:rsidRPr="000E307B">
        <w:rPr>
          <w:rFonts w:ascii="Times New Roman" w:hAnsi="Times New Roman" w:cs="Times New Roman"/>
          <w:sz w:val="28"/>
          <w:szCs w:val="28"/>
        </w:rPr>
        <w:t>ый</w:t>
      </w:r>
      <w:r w:rsidR="00C46299" w:rsidRPr="000E307B">
        <w:rPr>
          <w:rFonts w:ascii="Times New Roman" w:hAnsi="Times New Roman" w:cs="Times New Roman"/>
          <w:sz w:val="28"/>
          <w:szCs w:val="28"/>
        </w:rPr>
        <w:t xml:space="preserve"> </w:t>
      </w:r>
      <w:r w:rsidR="009F7FCC" w:rsidRPr="000E307B">
        <w:rPr>
          <w:rFonts w:ascii="Times New Roman" w:hAnsi="Times New Roman" w:cs="Times New Roman"/>
          <w:sz w:val="28"/>
          <w:szCs w:val="28"/>
        </w:rPr>
        <w:t>отдел</w:t>
      </w:r>
      <w:r w:rsidRPr="000E307B">
        <w:rPr>
          <w:rFonts w:ascii="Times New Roman" w:hAnsi="Times New Roman" w:cs="Times New Roman"/>
          <w:sz w:val="28"/>
          <w:szCs w:val="28"/>
        </w:rPr>
        <w:t xml:space="preserve"> проставляет отметку, подтверждающую санкционирование оплаты денежных обязательств получателя средств </w:t>
      </w:r>
      <w:r w:rsidR="00C4629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C46299" w:rsidRPr="000E307B">
        <w:rPr>
          <w:rFonts w:ascii="Times New Roman" w:hAnsi="Times New Roman" w:cs="Times New Roman"/>
          <w:sz w:val="28"/>
          <w:szCs w:val="28"/>
        </w:rPr>
        <w:t>местного</w:t>
      </w:r>
      <w:r w:rsidRPr="000E307B">
        <w:rPr>
          <w:rFonts w:ascii="Times New Roman" w:hAnsi="Times New Roman" w:cs="Times New Roman"/>
          <w:sz w:val="28"/>
          <w:szCs w:val="28"/>
        </w:rPr>
        <w:t xml:space="preserve"> бюджета) в форме совершения разрешительного штампа "</w:t>
      </w:r>
      <w:r w:rsidR="009F7FCC" w:rsidRPr="000E307B">
        <w:rPr>
          <w:rFonts w:ascii="Times New Roman" w:hAnsi="Times New Roman" w:cs="Times New Roman"/>
          <w:sz w:val="28"/>
          <w:szCs w:val="28"/>
        </w:rPr>
        <w:t>ПРОВЕДЕНО</w:t>
      </w:r>
      <w:r w:rsidRPr="000E307B">
        <w:rPr>
          <w:rFonts w:ascii="Times New Roman" w:hAnsi="Times New Roman" w:cs="Times New Roman"/>
          <w:sz w:val="28"/>
          <w:szCs w:val="28"/>
        </w:rPr>
        <w:t xml:space="preserve">" с указанием даты, подписи, расшифровки подписи, содержащей фамилию, инициалы ответственного исполнителя </w:t>
      </w:r>
      <w:r w:rsidR="00C46299" w:rsidRPr="000E307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9F7FCC" w:rsidRPr="000E307B">
        <w:rPr>
          <w:rFonts w:ascii="Times New Roman" w:hAnsi="Times New Roman" w:cs="Times New Roman"/>
          <w:sz w:val="28"/>
          <w:szCs w:val="28"/>
        </w:rPr>
        <w:t>отдела</w:t>
      </w:r>
      <w:r w:rsidRPr="000E3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76099" w:rsidRPr="00185D50" w:rsidSect="00E61202">
      <w:headerReference w:type="default" r:id="rId13"/>
      <w:pgSz w:w="11906" w:h="16838"/>
      <w:pgMar w:top="568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B5" w:rsidRDefault="004631B5" w:rsidP="00956DF1">
      <w:pPr>
        <w:spacing w:after="0" w:line="240" w:lineRule="auto"/>
      </w:pPr>
      <w:r>
        <w:separator/>
      </w:r>
    </w:p>
  </w:endnote>
  <w:endnote w:type="continuationSeparator" w:id="1">
    <w:p w:rsidR="004631B5" w:rsidRDefault="004631B5" w:rsidP="009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B5" w:rsidRDefault="004631B5" w:rsidP="00956DF1">
      <w:pPr>
        <w:spacing w:after="0" w:line="240" w:lineRule="auto"/>
      </w:pPr>
      <w:r>
        <w:separator/>
      </w:r>
    </w:p>
  </w:footnote>
  <w:footnote w:type="continuationSeparator" w:id="1">
    <w:p w:rsidR="004631B5" w:rsidRDefault="004631B5" w:rsidP="0095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057822"/>
      <w:docPartObj>
        <w:docPartGallery w:val="Page Numbers (Top of Page)"/>
        <w:docPartUnique/>
      </w:docPartObj>
    </w:sdtPr>
    <w:sdtContent>
      <w:p w:rsidR="00E76099" w:rsidRDefault="00871F41">
        <w:pPr>
          <w:pStyle w:val="a5"/>
          <w:jc w:val="center"/>
        </w:pPr>
        <w:r>
          <w:fldChar w:fldCharType="begin"/>
        </w:r>
        <w:r w:rsidR="00E76099">
          <w:instrText>PAGE   \* MERGEFORMAT</w:instrText>
        </w:r>
        <w:r>
          <w:fldChar w:fldCharType="separate"/>
        </w:r>
        <w:r w:rsidR="00586D66">
          <w:rPr>
            <w:noProof/>
          </w:rPr>
          <w:t>2</w:t>
        </w:r>
        <w:r>
          <w:fldChar w:fldCharType="end"/>
        </w:r>
      </w:p>
    </w:sdtContent>
  </w:sdt>
  <w:p w:rsidR="00E76099" w:rsidRDefault="00E760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3F98"/>
    <w:multiLevelType w:val="hybridMultilevel"/>
    <w:tmpl w:val="0E9E4060"/>
    <w:lvl w:ilvl="0" w:tplc="79343F5C">
      <w:start w:val="1"/>
      <w:numFmt w:val="decimal"/>
      <w:lvlText w:val="%1."/>
      <w:lvlJc w:val="left"/>
      <w:pPr>
        <w:ind w:left="1482" w:hanging="91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185D50"/>
    <w:rsid w:val="000A089A"/>
    <w:rsid w:val="000E307B"/>
    <w:rsid w:val="00101B1A"/>
    <w:rsid w:val="00131102"/>
    <w:rsid w:val="001827E1"/>
    <w:rsid w:val="00185D50"/>
    <w:rsid w:val="00243882"/>
    <w:rsid w:val="002C3794"/>
    <w:rsid w:val="002E0EC7"/>
    <w:rsid w:val="003F4D30"/>
    <w:rsid w:val="0040130D"/>
    <w:rsid w:val="00402378"/>
    <w:rsid w:val="00411018"/>
    <w:rsid w:val="00425745"/>
    <w:rsid w:val="00437A60"/>
    <w:rsid w:val="004631B5"/>
    <w:rsid w:val="004A3ABD"/>
    <w:rsid w:val="0053256E"/>
    <w:rsid w:val="0054770E"/>
    <w:rsid w:val="00577047"/>
    <w:rsid w:val="00581B3C"/>
    <w:rsid w:val="00586D66"/>
    <w:rsid w:val="005B576D"/>
    <w:rsid w:val="005B58E9"/>
    <w:rsid w:val="006E278F"/>
    <w:rsid w:val="00837E91"/>
    <w:rsid w:val="00847F3C"/>
    <w:rsid w:val="00871F41"/>
    <w:rsid w:val="008B1D66"/>
    <w:rsid w:val="00956DF1"/>
    <w:rsid w:val="009F7FCC"/>
    <w:rsid w:val="00A410FC"/>
    <w:rsid w:val="00A7268E"/>
    <w:rsid w:val="00A805CC"/>
    <w:rsid w:val="00B35A58"/>
    <w:rsid w:val="00BE2F18"/>
    <w:rsid w:val="00C46299"/>
    <w:rsid w:val="00C74B95"/>
    <w:rsid w:val="00C955F9"/>
    <w:rsid w:val="00CD67A8"/>
    <w:rsid w:val="00D0295C"/>
    <w:rsid w:val="00D30C49"/>
    <w:rsid w:val="00D70537"/>
    <w:rsid w:val="00D9166A"/>
    <w:rsid w:val="00E13EF8"/>
    <w:rsid w:val="00E61202"/>
    <w:rsid w:val="00E76099"/>
    <w:rsid w:val="00E86D34"/>
    <w:rsid w:val="00EF142B"/>
    <w:rsid w:val="00F3358B"/>
    <w:rsid w:val="00F47E73"/>
    <w:rsid w:val="00F53207"/>
    <w:rsid w:val="00F6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DF1"/>
  </w:style>
  <w:style w:type="paragraph" w:styleId="a7">
    <w:name w:val="footer"/>
    <w:basedOn w:val="a"/>
    <w:link w:val="a8"/>
    <w:uiPriority w:val="99"/>
    <w:unhideWhenUsed/>
    <w:rsid w:val="0095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DF1"/>
  </w:style>
  <w:style w:type="paragraph" w:customStyle="1" w:styleId="ConsPlusNonformat">
    <w:name w:val="ConsPlusNonformat"/>
    <w:rsid w:val="000A0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правка"/>
    <w:basedOn w:val="a"/>
    <w:rsid w:val="000A089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A08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3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DF1"/>
  </w:style>
  <w:style w:type="paragraph" w:styleId="a7">
    <w:name w:val="footer"/>
    <w:basedOn w:val="a"/>
    <w:link w:val="a8"/>
    <w:uiPriority w:val="99"/>
    <w:unhideWhenUsed/>
    <w:rsid w:val="0095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AAA5476E9FA4BEB6222B032C780069E3C37E4FFC52EAC2E81B1BDAE27978B18C454EDEA37E5DE0C1312341B70FA9F5Eb820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6489DDBFE42DC41403ABF94F640B43450A3C9DC25243D44CD6E0C55B255B2E0kDn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1AAA5476E9FA4BEB623CBD24ABDE0C9C3F60EAFEC42CF371D7B7EAF17791DE588452B8BB70B3D50D1B5865563BF59D5F9FFCE5808F61BFbB2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AAA5476E9FA4BEB623CBD24ABDE0C9C3F60EAFEC42CF371D7B7EAF17791DE588452BBBE7BB7D85A4148611F6CFB815C88E2EE9E8Fb62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40AF-70C7-407A-88E6-A74B5ACE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21</cp:revision>
  <cp:lastPrinted>2021-10-28T11:14:00Z</cp:lastPrinted>
  <dcterms:created xsi:type="dcterms:W3CDTF">2021-09-27T11:42:00Z</dcterms:created>
  <dcterms:modified xsi:type="dcterms:W3CDTF">2021-12-01T11:49:00Z</dcterms:modified>
</cp:coreProperties>
</file>