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1E" w:rsidRPr="00075E1E" w:rsidRDefault="00075E1E" w:rsidP="00075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10795</wp:posOffset>
            </wp:positionV>
            <wp:extent cx="714375" cy="1076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E1E" w:rsidRPr="00075E1E" w:rsidRDefault="00075E1E" w:rsidP="00075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75E1E" w:rsidRPr="00075E1E" w:rsidRDefault="00075E1E" w:rsidP="00075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75E1E" w:rsidRPr="00075E1E" w:rsidRDefault="00075E1E" w:rsidP="00075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E1E" w:rsidRPr="00075E1E" w:rsidRDefault="00075E1E" w:rsidP="00075E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75E1E" w:rsidRPr="00075E1E" w:rsidRDefault="00075E1E" w:rsidP="00075E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5E1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075E1E" w:rsidRPr="00075E1E" w:rsidRDefault="00075E1E" w:rsidP="00075E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5E1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075E1E" w:rsidRPr="00AA4238" w:rsidTr="00075E1E">
        <w:trPr>
          <w:trHeight w:val="1408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E1E" w:rsidRDefault="00075E1E" w:rsidP="00075E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AA42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AA4238" w:rsidRPr="00AA42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07.</w:t>
            </w:r>
            <w:r w:rsidRPr="00AA42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="00AA4238" w:rsidRPr="00AA42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Pr="00AA42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.2020</w:t>
            </w:r>
            <w:r w:rsidRPr="00AA42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A4238" w:rsidRPr="00AA42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AA4238" w:rsidRPr="00AA42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373</w:t>
            </w:r>
          </w:p>
          <w:p w:rsidR="00AA4238" w:rsidRPr="00AA4238" w:rsidRDefault="00AA4238" w:rsidP="00075E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75E1E" w:rsidRPr="00AA4238" w:rsidRDefault="00075E1E" w:rsidP="00075E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2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 Пелым</w:t>
            </w:r>
          </w:p>
          <w:p w:rsidR="00075E1E" w:rsidRPr="00AA4238" w:rsidRDefault="00075E1E" w:rsidP="00075E1E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5E1E" w:rsidRPr="00AA4238" w:rsidRDefault="00075E1E" w:rsidP="00075E1E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42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Порядка проведения проверки инвестиционных проектов на предмет эффективности использования средств бюджета городского округа Пелым, направленных на капитальные вложения  </w:t>
            </w:r>
          </w:p>
          <w:p w:rsidR="00075E1E" w:rsidRPr="00AA4238" w:rsidRDefault="00075E1E" w:rsidP="00075E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075E1E" w:rsidRPr="00AA4238" w:rsidRDefault="00075E1E" w:rsidP="00AA4238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7" w:history="1">
        <w:r w:rsidRPr="00AA4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14</w:t>
        </w:r>
      </w:hyperlink>
      <w:r w:rsidRPr="00AA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 25 февраля 1999 года № 39-ФЗ «Об инвестиционной деятельности в Российской Федерации, осуществляемой в форме капитальных вложений», </w:t>
      </w:r>
      <w:hyperlink r:id="rId8" w:history="1">
        <w:r w:rsidRPr="00AA4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17</w:t>
        </w:r>
      </w:hyperlink>
      <w:r w:rsidRPr="00AA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принимая во внимание предложения прокуратуры гор</w:t>
      </w:r>
      <w:r w:rsidR="00AA4238" w:rsidRPr="00AA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 Ивделя </w:t>
      </w:r>
      <w:r w:rsidRPr="00AA4238">
        <w:rPr>
          <w:rFonts w:ascii="Times New Roman" w:hAnsi="Times New Roman" w:cs="Times New Roman"/>
          <w:color w:val="000000" w:themeColor="text1"/>
          <w:sz w:val="24"/>
          <w:szCs w:val="24"/>
        </w:rPr>
        <w:t>Свер</w:t>
      </w:r>
      <w:r w:rsidR="00AA4238" w:rsidRPr="00AA4238">
        <w:rPr>
          <w:rFonts w:ascii="Times New Roman" w:hAnsi="Times New Roman" w:cs="Times New Roman"/>
          <w:color w:val="000000" w:themeColor="text1"/>
          <w:sz w:val="24"/>
          <w:szCs w:val="24"/>
        </w:rPr>
        <w:t>дловской области от 15.10.2020 №</w:t>
      </w:r>
      <w:r w:rsidRPr="00AA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02-01-2020, в целях повышения эффективности расходования средств бюджета городского округа Пелым, руководствуясь Уставом городского округа Пелым, администрация городского округа Пелым</w:t>
      </w:r>
    </w:p>
    <w:p w:rsidR="00075E1E" w:rsidRPr="00AA4238" w:rsidRDefault="00075E1E" w:rsidP="00AA4238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75E1E" w:rsidRPr="00AA4238" w:rsidRDefault="00075E1E" w:rsidP="00AA423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проведения проверки инвестиционных проектов на предмет эффективности использования средств бюджета городского округа Пелым, направляемых на капитальные вложения (прилагается).</w:t>
      </w:r>
    </w:p>
    <w:p w:rsidR="00075E1E" w:rsidRPr="00AA4238" w:rsidRDefault="00075E1E" w:rsidP="00AA423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Методику оценки инвестиционных проектов на предмет эффективности использования средств бюджета городского округа Пелым, направляемых на капитальные вложения (прилагается).</w:t>
      </w:r>
    </w:p>
    <w:p w:rsidR="00075E1E" w:rsidRPr="00AA4238" w:rsidRDefault="00075E1E" w:rsidP="00AA423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ведения реестра инвестиционных проектов, получивших положительное заключение об эффективности использования средств бюджета городского округа Пелым, направляемых на капитальные вложения (прилагается).</w:t>
      </w:r>
    </w:p>
    <w:p w:rsidR="00075E1E" w:rsidRPr="00AA4238" w:rsidRDefault="00075E1E" w:rsidP="00AA423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уполномоченным органом на проведение проверки инвестиционных проектов, финансируемых полностью или частично за счет средств бюджета городского округа</w:t>
      </w:r>
      <w:r w:rsidR="007F65D4"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Пелым</w:t>
      </w: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предмет эффективности использования средств бюджета городского округа</w:t>
      </w:r>
      <w:r w:rsidR="007F65D4"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Пелым</w:t>
      </w: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направленных на капитальные вложения, является </w:t>
      </w:r>
      <w:r w:rsidR="007F65D4"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экономико – правовой </w:t>
      </w: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="007F65D4"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городского округа</w:t>
      </w:r>
      <w:r w:rsidR="007F65D4"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Пелым</w:t>
      </w: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E1E" w:rsidRPr="00AA4238" w:rsidRDefault="00075E1E" w:rsidP="00AA423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информационной газете «Пелымский вестник» и разместить на официальном сайте городского округа Пелым</w:t>
      </w:r>
      <w:r w:rsidR="00AA4238"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075E1E" w:rsidRPr="00AA4238" w:rsidRDefault="00075E1E" w:rsidP="00AA4238">
      <w:pPr>
        <w:numPr>
          <w:ilvl w:val="0"/>
          <w:numId w:val="1"/>
        </w:numPr>
        <w:tabs>
          <w:tab w:val="left" w:pos="-5000"/>
          <w:tab w:val="left" w:pos="0"/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настоящего постановления возложить на заместителя главы администрации городского округа Пелым Е.А. Смертину</w:t>
      </w:r>
      <w:r w:rsidRPr="00AA42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5E1E" w:rsidRPr="00AA4238" w:rsidRDefault="00075E1E" w:rsidP="00075E1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1E" w:rsidRDefault="00075E1E" w:rsidP="00075E1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238" w:rsidRDefault="00AA4238" w:rsidP="00075E1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238" w:rsidRPr="00AA4238" w:rsidRDefault="00AA4238" w:rsidP="00075E1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1E" w:rsidRDefault="00075E1E" w:rsidP="00075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округа Пелым                            </w:t>
      </w:r>
      <w:r w:rsidR="00307DA7" w:rsidRPr="00AA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A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Ш.Т. Алиев</w:t>
      </w:r>
    </w:p>
    <w:p w:rsidR="00341007" w:rsidRPr="00075E1E" w:rsidRDefault="00341007" w:rsidP="0007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E5C94" w:rsidTr="007E5C94">
        <w:tc>
          <w:tcPr>
            <w:tcW w:w="6204" w:type="dxa"/>
          </w:tcPr>
          <w:p w:rsidR="007E5C94" w:rsidRDefault="007E5C94" w:rsidP="007E5C9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7E5C94" w:rsidRPr="007E5C94" w:rsidRDefault="007E5C94" w:rsidP="007E5C9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C9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45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C94" w:rsidRPr="007E5C94" w:rsidRDefault="007E5C94" w:rsidP="007E5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C9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7E5C94" w:rsidRPr="007E5C94" w:rsidRDefault="007E5C94" w:rsidP="007E5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C94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7E5C94" w:rsidRDefault="007E5C94" w:rsidP="007E5C9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C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7E5C9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07.12.2020</w:t>
            </w:r>
            <w:r w:rsidRPr="007E5C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Pr="007E5C9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373</w:t>
            </w:r>
          </w:p>
        </w:tc>
      </w:tr>
    </w:tbl>
    <w:p w:rsidR="007E5C94" w:rsidRPr="007E5C94" w:rsidRDefault="007E5C94" w:rsidP="007E5C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E5C94" w:rsidRPr="007E5C94" w:rsidRDefault="007E5C94" w:rsidP="007F65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65D4" w:rsidRPr="00A96C2B" w:rsidRDefault="007F65D4" w:rsidP="007F65D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C2B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C33CE1" w:rsidRPr="00A96C2B" w:rsidRDefault="007F65D4" w:rsidP="007F65D4">
      <w:pPr>
        <w:pStyle w:val="ConsPlusNormal"/>
        <w:jc w:val="center"/>
        <w:rPr>
          <w:sz w:val="24"/>
          <w:szCs w:val="24"/>
        </w:rPr>
      </w:pPr>
      <w:r w:rsidRPr="00A96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городского округа Пелым, направленных на капитальные вложения</w:t>
      </w:r>
    </w:p>
    <w:p w:rsidR="00C33CE1" w:rsidRDefault="00C33CE1">
      <w:pPr>
        <w:pStyle w:val="ConsPlusNormal"/>
      </w:pPr>
      <w:bookmarkStart w:id="0" w:name="P32"/>
      <w:bookmarkEnd w:id="0"/>
    </w:p>
    <w:p w:rsidR="00C33CE1" w:rsidRPr="00A96C2B" w:rsidRDefault="00C33CE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A96C2B">
        <w:rPr>
          <w:rFonts w:ascii="Times New Roman" w:hAnsi="Times New Roman" w:cs="Times New Roman"/>
          <w:szCs w:val="22"/>
        </w:rPr>
        <w:t>Раздел I. ОБЩИЕ ПОЛОЖЕНИЯ</w:t>
      </w:r>
    </w:p>
    <w:p w:rsidR="00C33CE1" w:rsidRPr="00A96C2B" w:rsidRDefault="00C33CE1">
      <w:pPr>
        <w:pStyle w:val="ConsPlusNormal"/>
        <w:rPr>
          <w:szCs w:val="22"/>
        </w:rPr>
      </w:pPr>
    </w:p>
    <w:p w:rsidR="00C33CE1" w:rsidRPr="007160C4" w:rsidRDefault="00C33CE1" w:rsidP="007160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определяет процедуру проведения проверки и подготовки заключения об эффективности инвестиционных проектов, финансируемых полностью или частично за счет средств бюджета городского округа </w:t>
      </w:r>
      <w:r w:rsidR="004C004A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Пелым 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(далее - местный бюджет), на предмет эффективности использования средств местного бюджета, направляемых на капитальные вложения (далее - Проверка).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 Проверка проводится в отношении инвестиционных проектов, предусматривающих осуществление бюджетных инвестиций (предоставление субсидий) в форме капитальных вложений в объекты капитального строительства: строительство, реконструкция объектов капитального строительства (в том числе с элементами реставрации, технического перевооружения); приобретение объекта (объектов) недвижимого имущества органами местного самоуправления, муниципальными учреждениями и муниципальными унитарными предприятиями (далее - инвестиционные проекты).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Проверка проводится </w:t>
      </w:r>
      <w:r w:rsidR="004C004A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экономико-правовым 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отделом </w:t>
      </w:r>
      <w:r w:rsidR="004C004A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городского округа</w:t>
      </w:r>
      <w:r w:rsidR="004C004A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Пелым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уполномоченный орган).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Проверка заключается в оценке соответствия инвестиционного проекта качественным,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вложения, в соответствии с </w:t>
      </w:r>
      <w:hyperlink w:anchor="P224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инвестиционных проектов на предмет эффективности использования средств местного бюджета, направляемых на капитальные вложения (далее - Методика), утвержденной </w:t>
      </w:r>
      <w:r w:rsidR="00126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</w:t>
      </w:r>
      <w:r w:rsidR="004C004A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</w:t>
      </w:r>
      <w:r w:rsidR="004C004A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городского округа</w:t>
      </w:r>
      <w:r w:rsidR="004C004A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Пелым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5. Проверка проводится для подготовки и принятия в соответствии с действующим законодательством решения о предоставлении средств местного бюджета для осуществления бюджетных инвестиций в объекты капитального строительства, находящиеся в собственности (хозяйственном ведении и оперативном управлении) юридических лиц и (или) приобретаемые в муниципальную собственность органами местного самоуправления, муниципальными учреждениями и муниципальными унитарными предприятиями.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C33CE1" w:rsidRPr="007160C4" w:rsidRDefault="00C33CE1" w:rsidP="007160C4">
      <w:pPr>
        <w:pStyle w:val="ConsPlusNormal"/>
        <w:rPr>
          <w:color w:val="000000" w:themeColor="text1"/>
          <w:sz w:val="24"/>
          <w:szCs w:val="24"/>
        </w:rPr>
      </w:pPr>
    </w:p>
    <w:p w:rsidR="00C33CE1" w:rsidRPr="007160C4" w:rsidRDefault="00C33CE1" w:rsidP="007160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II. КРИТЕРИИ ОЦЕНКИ ЭФФЕКТИВНОСТИ ИСПОЛЬЗОВАНИЯ</w:t>
      </w:r>
    </w:p>
    <w:p w:rsidR="00C33CE1" w:rsidRPr="007160C4" w:rsidRDefault="00C33CE1" w:rsidP="007160C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СРЕДСТВ МЕСТНОГО БЮДЖЕТА, НАПРАВЛЯЕМЫХ</w:t>
      </w:r>
    </w:p>
    <w:p w:rsidR="00C33CE1" w:rsidRPr="007160C4" w:rsidRDefault="00C33CE1" w:rsidP="007160C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НА КАПИТАЛЬНЫЕ ВЛОЖЕНИЯ</w:t>
      </w:r>
    </w:p>
    <w:p w:rsidR="00C33CE1" w:rsidRPr="007160C4" w:rsidRDefault="00C33CE1" w:rsidP="007160C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7160C4" w:rsidRDefault="00C33CE1" w:rsidP="007160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Проверка осуществляется на основе качественных критериев оценки эффективности использования средств местного бюджета, направляемых на капитальные вложения, определенных </w:t>
      </w:r>
      <w:hyperlink w:anchor="P239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7. Проверка проекта, не соответствующего качественным критериям, на соответствие количественным критериям не производится.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средств местного бюджета, направляемых на капитальные вложения, определенных </w:t>
      </w:r>
      <w:hyperlink w:anchor="P269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Методики.</w:t>
      </w:r>
    </w:p>
    <w:p w:rsidR="00C33CE1" w:rsidRPr="007160C4" w:rsidRDefault="00C33CE1" w:rsidP="007160C4">
      <w:pPr>
        <w:pStyle w:val="ConsPlusNormal"/>
        <w:rPr>
          <w:color w:val="000000" w:themeColor="text1"/>
          <w:sz w:val="24"/>
          <w:szCs w:val="24"/>
        </w:rPr>
      </w:pPr>
    </w:p>
    <w:p w:rsidR="00C33CE1" w:rsidRPr="007160C4" w:rsidRDefault="00C33CE1" w:rsidP="007160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ПОРЯДОК ПРОВЕДЕНИЯ ПРОВЕРКИ ПРОЕКТОВ</w:t>
      </w:r>
    </w:p>
    <w:p w:rsidR="00C33CE1" w:rsidRPr="007160C4" w:rsidRDefault="00C33CE1" w:rsidP="007160C4">
      <w:pPr>
        <w:pStyle w:val="ConsPlusNormal"/>
        <w:rPr>
          <w:color w:val="000000" w:themeColor="text1"/>
          <w:sz w:val="24"/>
          <w:szCs w:val="24"/>
        </w:rPr>
      </w:pPr>
    </w:p>
    <w:p w:rsidR="00C33CE1" w:rsidRPr="007160C4" w:rsidRDefault="00C33CE1" w:rsidP="007160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9. Инвестиционные проекты, прошедшие проверку на основе качественных и количественных критериев, подлежат дальнейшей проверке, в ходе которой производится расчет интегральной оценки инвестиционного проекта в соответствии с Методикой.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10. Проведение проверки и выдача заключения осуществляется на основании заявлений.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0"/>
      <w:bookmarkEnd w:id="1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11. Заявитель инвестиционного проекта представляет в уполномоченный орган заявление о проведении Проверки (далее - заявление), которое содержит следующие сведения: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1) сведения о заявителе - участнике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2) сведения об участниках инвестиционного проекта, если их несколько;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3) перечень документов, прилагаемых к заявлению.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12. К заявлению прилагаются следующие документы: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124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паспорт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инвестиционного проекта по установленной форме (приложение </w:t>
      </w:r>
      <w:r w:rsidR="007160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Порядку);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2) обоснование социально-экономической целесообразности, объема и сроков осуществления капитальных вложений включает: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2.1) наименование и тип (инфраструктурный, инновационный и другие)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2.2) цель и задачи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2.3) краткое описание инвестиционного проекта, включая предварительные расчеты объемов капитальных вложений, а также обоснование выбора проекта и расчет затрат на содержание объекта капитального строительства (недвижимого имущества) после сдачи его в эксплуатацию;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2.4) обоснование необходимости реализации инвестиционного проекта в связи с осуществлением полномочий органами местного самоуправления городского округа</w:t>
      </w:r>
      <w:r w:rsidR="004C004A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Пелым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2.5) источники и объемы финансового обеспечения инвестиционного проекта по годам его реализации с указанием нормативных правовых актов, подтверждающих данную информацию (при их наличии);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2.6) срок подготовки и реализации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2.7) обоснование целесообразности реализации инвестиционного проекта для перспективы социально-экономического развития городского округа</w:t>
      </w:r>
      <w:r w:rsidR="004534AD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Пелым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2.8) обоснование соответствия цели проекта приоритетам и целям, определенным в Стратегии социально-экономического развития городского округа</w:t>
      </w:r>
      <w:r w:rsidR="004534AD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Пелым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2.9) обоснование необходимости привлечения средств местного бюджета для реализации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2.10) обоснование спроса (потребности) на услуги,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7"/>
      <w:bookmarkEnd w:id="2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2.11) обоснование планируемого обеспечения строящегося (реконструируемого) объекта (объектов) капитального строительства или приобретаемого объекта недвижимого имущества инженерной и транспортной инфраструктурой мощностью, достаточной для реализации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8"/>
      <w:bookmarkEnd w:id="3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2.12)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2.13) обоснование улучшения экологической обстановки, если реализация инвестиционного проекта способствует решению экологических проблем;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80"/>
      <w:bookmarkEnd w:id="4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2.14) сведения о количестве создаваемых (модернизируемых) рабочих мест при реализации инвестиционного проекта в период проведения строительных работ и после ввода объекта в эксплуатацию (при необходимости);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81"/>
      <w:bookmarkEnd w:id="5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2.15) сведения о количестве создаваемых временных рабочих мест при реализации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2.16) обоснование наличия средств для обеспечения функционирования (эксплуатации) объекта после реализации инвестиционного проекта (для инвестиционных проектов, предусматривающих создание объектов муниципальной собственности);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83"/>
      <w:bookmarkEnd w:id="6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3) копия положительного заключения государственной экспертизы инвестиционного проекта, отдельных документов, входящих в состав этого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4"/>
      <w:bookmarkEnd w:id="7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4) копия положительного заключения достоверности определения сметной стоимости инвестиционного проекта, финансируемого полностью или частично за счет средств бюджета городского округа</w:t>
      </w:r>
      <w:r w:rsidR="004534AD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Пелым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направляемых на капитальные вложения;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5"/>
      <w:bookmarkEnd w:id="8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5) сводный сметный расчет стоимости строительства (реконструкции) объекта капитального строительства и объектные сметы (при их наличии);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86"/>
      <w:bookmarkEnd w:id="9"/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обоснования объема затрат на приобретение объекта недвижимого имущества, 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содержащее обоснование стоимости приобретения объекта недвижимости имущества (включая отчет об оценке объекта оценки, подготовленный в соответствии с требованиями законодательства Российской Федерации об оценочной деятельности, при наличии и в случаях, предусмотренных действующим законодательством).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86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6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не представляются в отношении инвестиционных проектов, по которым планируется строительство, реконструкция, в том числе техническое перевооружение объектов капитального строительства.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К заявлению о проведении Проверки инвестиционного проекта наряду с документами, указанным в </w:t>
      </w:r>
      <w:hyperlink w:anchor="P60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11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заявителем могут быть приложены иные документы, подтверждающие содержащиеся в нем сведения.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при необходимости запрашивает у заявителя дополнительную информацию, обосновывающую цель, сроки, объемы затрат и социально-экономическую значимость инвестиционного проекта, для проведения Проверки. Заявитель представляет запрашиваемую информацию в уполномоченный орган в течение 3 рабочих дней с даты получения запроса.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Документы, указанные в </w:t>
      </w:r>
      <w:hyperlink w:anchor="P77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2.11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8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2.12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0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2.14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1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2.15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3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4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5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5 пункта 12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15. Инвестиционный проект, получивший ранее положительное заключение, подлежит повторной проверке: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1) при изменении социально-экономических показателей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2) при увеличении запланированной сметной стоимости инвестиционного проекта более чем на 10 процентов, но не менее чем на один миллион рублей, в случае изменения проектной документации объекта капитального строительства, связанного с изменением проектных решений;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3) после получения положительного заключения государственной экспертизы инвестиционного проекта, отдельных документов, входящих в состав этого инвестиционного проекта, и (или) отдельных частей таких документов, в случае если такие документы и (или) их части в соответствии с федеральным законодательством подлежат государственной экспертизе, и положительного заключения достоверности определения сметной стоимости в отношении инвестиционных проектов, финансируемых полностью или частично за счет средств бюджета Полевского городского округа, направленных на капитальные вложения, прошедших Проверку до подготовки проектной документации.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16. Уполномоченный орган, получивший заявление о проведении проверки, в течение 5 рабочих дней принимает решение о проведении Проверки либо об отказе в ее проведении.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отказывает в проведении проверки в следующих случаях: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1) если заявление подано лицом, не являющимся участником инвестиционного проекта;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2) отсутствует полный комплект документов, представляемых заявителем уполномоченному органу для проведения Проверки, в соответствии с требованиями настоящего Порядка;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представленных документах отсутствуют исходные данные для расчета интегральной оценки эффективности инвестиционного проекта, финансируемого полностью 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или частично за счет средств местного бюджета, направляемых на капитальные вложения, в соответствии с </w:t>
      </w:r>
      <w:hyperlink w:anchor="P322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приложениями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Методике.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отказе в проведении проверки направляется заявителю в письменном виде.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17. Проведение проверки начинается после представления заявителем документов, предусмотренных настоящим Порядком, и завершается направлением заявителю заключения об эффективности инвестиционного проекта.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18. Срок проведения проверки и подготовки заключения не должен превышать 30 календарных дней со дня регистрации соответствующего заявления.</w:t>
      </w:r>
    </w:p>
    <w:p w:rsidR="00C33CE1" w:rsidRPr="007160C4" w:rsidRDefault="00C33CE1" w:rsidP="007160C4">
      <w:pPr>
        <w:pStyle w:val="ConsPlusNormal"/>
        <w:rPr>
          <w:color w:val="000000" w:themeColor="text1"/>
          <w:sz w:val="24"/>
          <w:szCs w:val="24"/>
        </w:rPr>
      </w:pPr>
    </w:p>
    <w:p w:rsidR="00C33CE1" w:rsidRPr="007160C4" w:rsidRDefault="00C33CE1" w:rsidP="007160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ВЫДАЧА ЗАКЛЮЧЕНИЯ ОБ ЭФФЕКТИВНОСТИ ПРОЕКТА</w:t>
      </w:r>
    </w:p>
    <w:p w:rsidR="00C33CE1" w:rsidRPr="007160C4" w:rsidRDefault="00C33CE1" w:rsidP="007160C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7160C4" w:rsidRDefault="00C33CE1" w:rsidP="007160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Результатом проверки является </w:t>
      </w:r>
      <w:hyperlink w:anchor="P184" w:history="1">
        <w:r w:rsidRPr="007160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заключение</w:t>
        </w:r>
      </w:hyperlink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</w:t>
      </w:r>
      <w:r w:rsidR="0023722B"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питальные вложения (приложение №</w:t>
      </w: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настоящему Порядку).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20.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инвестиционного проекта.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21. Отрицательное заключение содержит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22. При получении заявителем отрицательного заключения об эффективности инвестиционного проекта он вправе вновь обратиться в уполномоченный орган для проведения проверки инвестиционного проекта после устранения всех замечаний, указанных в заключении.</w:t>
      </w:r>
    </w:p>
    <w:p w:rsidR="00C33CE1" w:rsidRPr="007160C4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23. Заключение подписывается руководителем уполномоченного органа либо уполномоченным им должностным лицом.</w:t>
      </w:r>
    </w:p>
    <w:p w:rsidR="00C33CE1" w:rsidRPr="004353BC" w:rsidRDefault="00C33CE1" w:rsidP="00716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7160C4">
        <w:rPr>
          <w:rFonts w:ascii="Times New Roman" w:hAnsi="Times New Roman" w:cs="Times New Roman"/>
          <w:color w:val="000000" w:themeColor="text1"/>
          <w:sz w:val="24"/>
          <w:szCs w:val="24"/>
        </w:rPr>
        <w:t>24. Заключение составляется в двух экземплярах, оба из которых являются оригиналами, один оригинал заключения хранится в уполномоченном органе.</w:t>
      </w:r>
    </w:p>
    <w:p w:rsidR="00C33CE1" w:rsidRPr="004353BC" w:rsidRDefault="00C33CE1">
      <w:pPr>
        <w:pStyle w:val="ConsPlusNormal"/>
        <w:rPr>
          <w:color w:val="000000" w:themeColor="text1"/>
          <w:szCs w:val="22"/>
        </w:rPr>
      </w:pPr>
    </w:p>
    <w:p w:rsidR="00C33CE1" w:rsidRPr="004353BC" w:rsidRDefault="00C33CE1">
      <w:pPr>
        <w:pStyle w:val="ConsPlusNormal"/>
        <w:rPr>
          <w:color w:val="000000" w:themeColor="text1"/>
          <w:szCs w:val="22"/>
        </w:rPr>
      </w:pPr>
    </w:p>
    <w:p w:rsidR="00C33CE1" w:rsidRPr="004353BC" w:rsidRDefault="00C33CE1">
      <w:pPr>
        <w:pStyle w:val="ConsPlusNormal"/>
        <w:rPr>
          <w:color w:val="000000" w:themeColor="text1"/>
          <w:szCs w:val="22"/>
        </w:rPr>
      </w:pPr>
    </w:p>
    <w:p w:rsidR="00C33CE1" w:rsidRPr="004353BC" w:rsidRDefault="00C33CE1">
      <w:pPr>
        <w:pStyle w:val="ConsPlusNormal"/>
        <w:rPr>
          <w:color w:val="000000" w:themeColor="text1"/>
          <w:szCs w:val="22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41007" w:rsidRDefault="0034100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41007" w:rsidRDefault="0034100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E5C94" w:rsidRDefault="007E5C94" w:rsidP="001261A4">
      <w:pPr>
        <w:pStyle w:val="ConsPlusNormal"/>
        <w:outlineLvl w:val="1"/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7E5C94" w:rsidTr="007E5C94">
        <w:tc>
          <w:tcPr>
            <w:tcW w:w="5637" w:type="dxa"/>
          </w:tcPr>
          <w:p w:rsidR="007E5C94" w:rsidRDefault="007E5C94" w:rsidP="007E5C9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6" w:type="dxa"/>
          </w:tcPr>
          <w:p w:rsidR="007E5C94" w:rsidRPr="004353BC" w:rsidRDefault="007E5C94" w:rsidP="007E5C9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Приложение № 1</w:t>
            </w:r>
          </w:p>
          <w:p w:rsidR="007E5C94" w:rsidRPr="004353BC" w:rsidRDefault="007E5C94" w:rsidP="007E5C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к Порядку проведения проверки</w:t>
            </w:r>
          </w:p>
          <w:p w:rsidR="007E5C94" w:rsidRPr="004353BC" w:rsidRDefault="007E5C94" w:rsidP="007E5C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инвестиционных проектов на предмет</w:t>
            </w:r>
          </w:p>
          <w:p w:rsidR="007E5C94" w:rsidRPr="004353BC" w:rsidRDefault="007E5C94" w:rsidP="007E5C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эффективности использования средств</w:t>
            </w:r>
          </w:p>
          <w:p w:rsidR="007E5C94" w:rsidRPr="004353BC" w:rsidRDefault="007E5C94" w:rsidP="007E5C9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бюджета городского округа Пелым,</w:t>
            </w:r>
          </w:p>
          <w:p w:rsidR="007E5C94" w:rsidRDefault="007E5C94" w:rsidP="007E5C9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направляемых на капитальные вложения</w:t>
            </w:r>
          </w:p>
        </w:tc>
      </w:tr>
    </w:tbl>
    <w:p w:rsidR="007E5C94" w:rsidRDefault="007E5C94" w:rsidP="007E5C94">
      <w:pPr>
        <w:pStyle w:val="ConsPlusNormal"/>
        <w:outlineLvl w:val="1"/>
        <w:rPr>
          <w:rFonts w:ascii="Times New Roman" w:hAnsi="Times New Roman" w:cs="Times New Roman"/>
          <w:color w:val="000000" w:themeColor="text1"/>
        </w:rPr>
      </w:pPr>
    </w:p>
    <w:p w:rsidR="00C33CE1" w:rsidRPr="004353BC" w:rsidRDefault="00C33C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C33CE1" w:rsidRPr="004353BC" w:rsidRDefault="00C33C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0" w:name="P124"/>
      <w:bookmarkEnd w:id="10"/>
      <w:r w:rsidRPr="004353BC">
        <w:rPr>
          <w:rFonts w:ascii="Times New Roman" w:hAnsi="Times New Roman" w:cs="Times New Roman"/>
          <w:color w:val="000000" w:themeColor="text1"/>
        </w:rPr>
        <w:t>ПАСПОРТ ИНВЕСТИЦИОННОГО ПРОЕКТА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C33CE1" w:rsidRPr="004353BC" w:rsidRDefault="00C33C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1. Наименование инвестиционного проекта 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2. Местонахождение (район, город) 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3. Адрес (фактический) ____________________________________.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4. Цель инвестиционного проекта ___________________________.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bookmarkStart w:id="11" w:name="P130"/>
      <w:bookmarkEnd w:id="11"/>
      <w:r w:rsidRPr="004353BC">
        <w:rPr>
          <w:rFonts w:ascii="Times New Roman" w:hAnsi="Times New Roman" w:cs="Times New Roman"/>
          <w:color w:val="000000" w:themeColor="text1"/>
        </w:rPr>
        <w:t>5. Срок реализации инвестиционного проекта 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bookmarkStart w:id="12" w:name="P131"/>
      <w:bookmarkEnd w:id="12"/>
      <w:r w:rsidRPr="004353BC">
        <w:rPr>
          <w:rFonts w:ascii="Times New Roman" w:hAnsi="Times New Roman" w:cs="Times New Roman"/>
          <w:color w:val="000000" w:themeColor="text1"/>
        </w:rPr>
        <w:t>6. Форма реализации инвестиционного проекта (новое строительство, реконструкция, приобретение) _______________________________________________.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7. Существующая мощность (вместимость) 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8. Дефицит мощности, обоснование планируемой мощности (подробное описание) ______________________________________________.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9. Наличие проектной документации по инвестиционному проекту (ссылка на подтверждающий документ) 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10. 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11.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определения, млн. руб. (включая НДС/без НДС - нужное подчеркнуть), а также рассчитанная в ценах соответствующих лет _________________,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рассчитанная в ценах соответствующих лет), млн. руб. _______________________________.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12. Технологическая структура капитальных вложений: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38"/>
      </w:tblGrid>
      <w:tr w:rsidR="00C33CE1" w:rsidRPr="004353BC">
        <w:tc>
          <w:tcPr>
            <w:tcW w:w="538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8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Стоимость, включая НДС, в текущих ценах/в ценах соответствующих лет, млн. руб.</w:t>
            </w:r>
          </w:p>
        </w:tc>
      </w:tr>
      <w:tr w:rsidR="00C33CE1" w:rsidRPr="004353BC">
        <w:tc>
          <w:tcPr>
            <w:tcW w:w="538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Стоимость инвестиционного проекта</w:t>
            </w:r>
          </w:p>
        </w:tc>
        <w:tc>
          <w:tcPr>
            <w:tcW w:w="3638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CE1" w:rsidRPr="004353BC">
        <w:tc>
          <w:tcPr>
            <w:tcW w:w="538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3638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CE1" w:rsidRPr="004353BC">
        <w:tc>
          <w:tcPr>
            <w:tcW w:w="538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638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CE1" w:rsidRPr="004353BC">
        <w:tc>
          <w:tcPr>
            <w:tcW w:w="538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638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CE1" w:rsidRPr="004353BC">
        <w:tc>
          <w:tcPr>
            <w:tcW w:w="538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прочие затраты</w:t>
            </w:r>
          </w:p>
        </w:tc>
        <w:tc>
          <w:tcPr>
            <w:tcW w:w="3638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C33CE1" w:rsidRPr="004353BC" w:rsidRDefault="00C33C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13. Источники и объемы финансирования инвестиционного проекта, млн. руб.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87"/>
        <w:gridCol w:w="1474"/>
        <w:gridCol w:w="1474"/>
        <w:gridCol w:w="1474"/>
        <w:gridCol w:w="1474"/>
      </w:tblGrid>
      <w:tr w:rsidR="00C33CE1" w:rsidRPr="004353BC">
        <w:tc>
          <w:tcPr>
            <w:tcW w:w="1587" w:type="dxa"/>
            <w:vMerge w:val="restart"/>
            <w:vAlign w:val="center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Годы реализации инвестиционного проекта</w:t>
            </w:r>
          </w:p>
        </w:tc>
        <w:tc>
          <w:tcPr>
            <w:tcW w:w="1587" w:type="dxa"/>
            <w:vMerge w:val="restart"/>
            <w:vAlign w:val="center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5896" w:type="dxa"/>
            <w:gridSpan w:val="4"/>
            <w:vAlign w:val="center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инвестиционного проекта</w:t>
            </w:r>
          </w:p>
        </w:tc>
      </w:tr>
      <w:tr w:rsidR="00C33CE1" w:rsidRPr="004353BC">
        <w:tc>
          <w:tcPr>
            <w:tcW w:w="1587" w:type="dxa"/>
            <w:vMerge/>
          </w:tcPr>
          <w:p w:rsidR="00C33CE1" w:rsidRPr="004353BC" w:rsidRDefault="00C33C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:rsidR="00C33CE1" w:rsidRPr="004353BC" w:rsidRDefault="00C33C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 (в текущих ценах/в ценах соответствующих лет)</w:t>
            </w:r>
          </w:p>
        </w:tc>
        <w:tc>
          <w:tcPr>
            <w:tcW w:w="1474" w:type="dxa"/>
            <w:vAlign w:val="center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средства областного бюджета (в текущих ценах/в ценах соответствующих лет)</w:t>
            </w:r>
          </w:p>
        </w:tc>
        <w:tc>
          <w:tcPr>
            <w:tcW w:w="1474" w:type="dxa"/>
            <w:vAlign w:val="center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средства муниципального бюджета (в текущих ценах/в ценах соответствующих лет)</w:t>
            </w:r>
          </w:p>
        </w:tc>
        <w:tc>
          <w:tcPr>
            <w:tcW w:w="1474" w:type="dxa"/>
            <w:vAlign w:val="center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Другие внебюджетные средства (в текущих ценах/в ценах соответствующих лет)</w:t>
            </w:r>
          </w:p>
        </w:tc>
      </w:tr>
    </w:tbl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C33CE1" w:rsidRPr="004353BC" w:rsidRDefault="00C33C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14. Количественные показатели (показатель) результатов реализации инвестиционного проекта ____________________________________________________________.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15. Отношение стоимости инвестиционного проекта к значениям количественных показателей результатов реализации инвестиционного проекта, млн. руб./на единицу результата, в текущих ценах _________________________________________.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4353BC">
        <w:rPr>
          <w:rFonts w:ascii="Times New Roman" w:hAnsi="Times New Roman" w:cs="Times New Roman"/>
          <w:color w:val="000000" w:themeColor="text1"/>
        </w:rPr>
        <w:t>16. Форма собственности объекта _________________________________________.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572"/>
        <w:gridCol w:w="2478"/>
      </w:tblGrid>
      <w:tr w:rsidR="00C33CE1" w:rsidRPr="004353B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Руководитель заявителя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C33CE1" w:rsidRPr="004353BC" w:rsidRDefault="00C33CE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</w:tc>
      </w:tr>
      <w:tr w:rsidR="00C33CE1" w:rsidRPr="004353B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C33CE1" w:rsidRPr="004353BC" w:rsidRDefault="00C33CE1">
      <w:pPr>
        <w:pStyle w:val="ConsPlusNormal"/>
        <w:rPr>
          <w:color w:val="000000" w:themeColor="text1"/>
        </w:rPr>
      </w:pPr>
    </w:p>
    <w:p w:rsidR="00C33CE1" w:rsidRPr="004353BC" w:rsidRDefault="00C33CE1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Pr="004353BC" w:rsidRDefault="000925CB">
      <w:pPr>
        <w:pStyle w:val="ConsPlusNormal"/>
        <w:rPr>
          <w:color w:val="000000" w:themeColor="text1"/>
        </w:rPr>
      </w:pPr>
    </w:p>
    <w:p w:rsidR="000925CB" w:rsidRDefault="000925CB">
      <w:pPr>
        <w:pStyle w:val="ConsPlusNormal"/>
        <w:rPr>
          <w:color w:val="000000" w:themeColor="text1"/>
        </w:rPr>
      </w:pPr>
    </w:p>
    <w:p w:rsidR="00341007" w:rsidRDefault="00341007">
      <w:pPr>
        <w:pStyle w:val="ConsPlusNormal"/>
        <w:rPr>
          <w:color w:val="000000" w:themeColor="text1"/>
        </w:rPr>
      </w:pPr>
    </w:p>
    <w:p w:rsidR="004353BC" w:rsidRDefault="004353BC">
      <w:pPr>
        <w:pStyle w:val="ConsPlusNormal"/>
        <w:rPr>
          <w:color w:val="000000" w:themeColor="text1"/>
        </w:rPr>
      </w:pPr>
    </w:p>
    <w:p w:rsidR="004353BC" w:rsidRDefault="004353BC">
      <w:pPr>
        <w:pStyle w:val="ConsPlusNormal"/>
        <w:rPr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7E5C94" w:rsidTr="007E5C94">
        <w:tc>
          <w:tcPr>
            <w:tcW w:w="5353" w:type="dxa"/>
          </w:tcPr>
          <w:p w:rsidR="007E5C94" w:rsidRDefault="007E5C9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7E5C94" w:rsidRPr="004353BC" w:rsidRDefault="007E5C94" w:rsidP="007E5C9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7E5C94" w:rsidRPr="004353BC" w:rsidRDefault="007E5C94" w:rsidP="007E5C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Порядку проведения проверки</w:t>
            </w:r>
          </w:p>
          <w:p w:rsidR="007E5C94" w:rsidRPr="004353BC" w:rsidRDefault="007E5C94" w:rsidP="007E5C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инвестиционных проектов на предмет</w:t>
            </w:r>
          </w:p>
          <w:p w:rsidR="007E5C94" w:rsidRPr="004353BC" w:rsidRDefault="007E5C94" w:rsidP="007E5C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использования средств</w:t>
            </w:r>
          </w:p>
          <w:p w:rsidR="007E5C94" w:rsidRPr="004353BC" w:rsidRDefault="007E5C94" w:rsidP="007E5C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городского округа Пелым,</w:t>
            </w:r>
          </w:p>
          <w:p w:rsidR="007E5C94" w:rsidRDefault="007E5C94" w:rsidP="007E5C94">
            <w:pPr>
              <w:pStyle w:val="ConsPlusNormal"/>
              <w:rPr>
                <w:color w:val="000000" w:themeColor="text1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направляемых на капитальные вложения</w:t>
            </w:r>
          </w:p>
        </w:tc>
      </w:tr>
    </w:tbl>
    <w:p w:rsidR="000925CB" w:rsidRDefault="000925CB">
      <w:pPr>
        <w:pStyle w:val="ConsPlusNormal"/>
      </w:pPr>
    </w:p>
    <w:p w:rsidR="00C33CE1" w:rsidRPr="004353BC" w:rsidRDefault="00C33CE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4353BC" w:rsidRDefault="00C33C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84"/>
      <w:bookmarkEnd w:id="13"/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C33CE1" w:rsidRPr="004353BC" w:rsidRDefault="00C33C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о проверке инвестиционных проектов на предмет</w:t>
      </w:r>
    </w:p>
    <w:p w:rsidR="00C33CE1" w:rsidRPr="004353BC" w:rsidRDefault="00C33C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использования средств местного бюджета,</w:t>
      </w:r>
    </w:p>
    <w:p w:rsidR="00C33CE1" w:rsidRPr="004353BC" w:rsidRDefault="00C33C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направляемых на капитальные вложения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4353BC" w:rsidRDefault="00C33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4353BC" w:rsidRDefault="00C33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инвестиционного проекта 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(район, город) _____________________________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Адрес (фактический) ________________________________________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__________________________________________________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комплекта документов, представленных заявителем: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_______________; дата 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инвестиционного проекта 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 ________________________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Сметная стоимость инвестиционного проекта всего в ценах соответствующих лет (тыс. рублей с одним знаком после запятой): ________________________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2.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качественных критериев ___________________________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количественных критериев _________________________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интегральной оценки ______________________________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3.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C33CE1" w:rsidRPr="004353BC" w:rsidRDefault="00C33C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___________________________________________________________.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814"/>
        <w:gridCol w:w="1871"/>
      </w:tblGrid>
      <w:tr w:rsidR="00C33CE1" w:rsidRPr="004353B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33CE1" w:rsidRPr="004353BC" w:rsidRDefault="000925CB" w:rsidP="000925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C33CE1"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о-правового отдела</w:t>
            </w:r>
            <w:r w:rsidR="00C33CE1"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33CE1"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33CE1"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ородского округа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Пелым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E1" w:rsidRPr="004353BC" w:rsidRDefault="00C33CE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C33CE1" w:rsidRPr="004353B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33CE1" w:rsidRPr="004353BC" w:rsidRDefault="003410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353BC" w:rsidRDefault="004353BC" w:rsidP="00341007">
      <w:pPr>
        <w:pStyle w:val="ConsPlusNormal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445C07" w:rsidTr="00445C07">
        <w:tc>
          <w:tcPr>
            <w:tcW w:w="6204" w:type="dxa"/>
          </w:tcPr>
          <w:p w:rsidR="00445C07" w:rsidRDefault="00445C07" w:rsidP="00445C07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</w:tcPr>
          <w:p w:rsidR="00445C07" w:rsidRPr="00445C07" w:rsidRDefault="00445C07" w:rsidP="00445C07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45C07" w:rsidRPr="00445C07" w:rsidRDefault="00445C07" w:rsidP="00445C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445C07" w:rsidRPr="00445C07" w:rsidRDefault="00445C07" w:rsidP="00445C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Пелым</w:t>
            </w:r>
          </w:p>
          <w:p w:rsidR="00445C07" w:rsidRDefault="00445C07" w:rsidP="00445C0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45C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1261A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07.12.2020</w:t>
            </w:r>
            <w:r w:rsidRPr="00445C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Pr="00445C0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373</w:t>
            </w:r>
          </w:p>
          <w:p w:rsidR="001261A4" w:rsidRDefault="001261A4" w:rsidP="00445C07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5C07" w:rsidRDefault="00445C07" w:rsidP="00445C07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4353BC" w:rsidRDefault="00774FD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224"/>
      <w:bookmarkEnd w:id="14"/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Методика</w:t>
      </w:r>
    </w:p>
    <w:p w:rsidR="00774FDB" w:rsidRPr="004353BC" w:rsidRDefault="00774FD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оценки инвестиционных проектов на предмет эффективности использования средств бюджета городского округа Пелым, направленных на капитальные вложения</w:t>
      </w:r>
    </w:p>
    <w:p w:rsidR="00774FDB" w:rsidRPr="00341007" w:rsidRDefault="00774FDB">
      <w:pPr>
        <w:pStyle w:val="ConsPlusTitle"/>
        <w:jc w:val="center"/>
        <w:outlineLvl w:val="1"/>
        <w:rPr>
          <w:b w:val="0"/>
          <w:color w:val="000000" w:themeColor="text1"/>
          <w:sz w:val="24"/>
          <w:szCs w:val="24"/>
        </w:rPr>
      </w:pPr>
    </w:p>
    <w:p w:rsidR="00C33CE1" w:rsidRPr="004353BC" w:rsidRDefault="00C33CE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Раздел I. ОБЩИЕ ПОЛОЖЕНИЯ</w:t>
      </w:r>
    </w:p>
    <w:p w:rsidR="00C33CE1" w:rsidRPr="004353BC" w:rsidRDefault="00C33CE1">
      <w:pPr>
        <w:pStyle w:val="ConsPlusNormal"/>
        <w:rPr>
          <w:color w:val="000000" w:themeColor="text1"/>
          <w:szCs w:val="22"/>
        </w:rPr>
      </w:pPr>
    </w:p>
    <w:p w:rsidR="00C33CE1" w:rsidRPr="004353BC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1. Методика оценки инвестиционных проектов на предмет эффективности использования средств бюджета городского округа</w:t>
      </w:r>
      <w:r w:rsidR="00E92CC7" w:rsidRPr="004353BC">
        <w:rPr>
          <w:rFonts w:ascii="Times New Roman" w:hAnsi="Times New Roman" w:cs="Times New Roman"/>
          <w:color w:val="000000" w:themeColor="text1"/>
          <w:szCs w:val="22"/>
        </w:rPr>
        <w:t xml:space="preserve"> Пелым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C33CE1" w:rsidRPr="004353BC" w:rsidRDefault="00C33CE1">
      <w:pPr>
        <w:pStyle w:val="ConsPlusNormal"/>
        <w:rPr>
          <w:color w:val="000000" w:themeColor="text1"/>
          <w:szCs w:val="22"/>
        </w:rPr>
      </w:pPr>
    </w:p>
    <w:p w:rsidR="00C33CE1" w:rsidRPr="004353BC" w:rsidRDefault="00C33CE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Раздел II. СОСТАВ, ПОРЯДОК ОПРЕДЕЛЕНИЯ БАЛЛОВ ОЦЕНКИ</w:t>
      </w: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КАЧЕСТВЕННЫХ КРИТЕРИЕВ И ОЦЕНКИ ЭФФЕКТИВНОСТИ</w:t>
      </w: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НА ОСНОВЕ КАЧЕСТВЕННЫХ КРИТЕРИЕВ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5" w:name="P239"/>
      <w:bookmarkEnd w:id="15"/>
      <w:r w:rsidRPr="004353BC">
        <w:rPr>
          <w:rFonts w:ascii="Times New Roman" w:hAnsi="Times New Roman" w:cs="Times New Roman"/>
          <w:color w:val="000000" w:themeColor="text1"/>
          <w:szCs w:val="22"/>
        </w:rPr>
        <w:t>4. Оценка эффективности осуществляется на основе следующих качественных критериев: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1)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2) наличие необходимости реализации инвестиционного проекта в связи с осуществлением органами местного самоуправления городского округа</w:t>
      </w:r>
      <w:r w:rsidR="00200C72" w:rsidRPr="004353BC">
        <w:rPr>
          <w:rFonts w:ascii="Times New Roman" w:hAnsi="Times New Roman" w:cs="Times New Roman"/>
          <w:color w:val="000000" w:themeColor="text1"/>
          <w:szCs w:val="22"/>
        </w:rPr>
        <w:t xml:space="preserve"> Пелым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полномочий, отнесенных к предмету их ведения;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3) наличие государственных программ Свердловской области, муниципальных программ, выполняемых за счет бюджетных средств, в рамках которых планируется реализовать инвестиционный проект;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4) комплексный подход при реализации инвестиционного проекта во взаимосвязи с программными мероприятиями, реализуемыми в муниципальных программах;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5) наличие потребности в данной услуге (работе), оказываемой населению городского округа</w:t>
      </w:r>
      <w:r w:rsidR="00200C72" w:rsidRPr="004353BC">
        <w:rPr>
          <w:rFonts w:ascii="Times New Roman" w:hAnsi="Times New Roman" w:cs="Times New Roman"/>
          <w:color w:val="000000" w:themeColor="text1"/>
          <w:szCs w:val="22"/>
        </w:rPr>
        <w:t xml:space="preserve"> Пелым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в сфере, в которой планируется реализовать инвестиционный проект (далее - услуга);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6) соответствие цели проекта приоритетам и целям, определенным в Стратегии социально-экономического развития городского округа</w:t>
      </w:r>
      <w:r w:rsidR="00200C72" w:rsidRPr="004353BC">
        <w:rPr>
          <w:rFonts w:ascii="Times New Roman" w:hAnsi="Times New Roman" w:cs="Times New Roman"/>
          <w:color w:val="000000" w:themeColor="text1"/>
          <w:szCs w:val="22"/>
        </w:rPr>
        <w:t xml:space="preserve"> Пелым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7)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8) наличие положительного заключения государственной экспертизы проектной документации 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lastRenderedPageBreak/>
        <w:t>(в случаях, установленных действующим законодательством), достоверности определения сметной стоимости инвестиционного проекта;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9) наличие оценки влияния результата реализации инвестиционного проекта на комплексное развитие городского округа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 xml:space="preserve"> Пелым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10) увеличение объема муниципальных услуг, предоставляемых населению городского округа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 xml:space="preserve"> Пелым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, в результате реализации инвестиционного проекта;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6" w:name="P250"/>
      <w:bookmarkEnd w:id="16"/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11) повышение уровня безопасности проживания населения 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>г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ородского округа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 xml:space="preserve"> Пелым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в результате реализации инвестиционного проекта;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7" w:name="P251"/>
      <w:bookmarkEnd w:id="17"/>
      <w:r w:rsidRPr="004353BC">
        <w:rPr>
          <w:rFonts w:ascii="Times New Roman" w:hAnsi="Times New Roman" w:cs="Times New Roman"/>
          <w:color w:val="000000" w:themeColor="text1"/>
          <w:szCs w:val="22"/>
        </w:rPr>
        <w:t>12) улучшение экологической обстановки в Полевском городском округе в результате реализации инвестиционного проекта;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13) наличие решения о подготовке бюджетных инвестиций, в том числе о предоставлении субсидий, для реализации инвестиционного проекта.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В случае Проверки инвестиционных проектов, предусматривающих инвестиции в объекты юридических лиц, качественные критерии, указанные в </w:t>
      </w:r>
      <w:hyperlink w:anchor="P250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>подпунктах 11</w:t>
        </w:r>
      </w:hyperlink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251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>12</w:t>
        </w:r>
      </w:hyperlink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настоящего пункта, не используются.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5. Оценка эффективности на основе качественных критериев рассчитывается по следующей формуле: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52097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20970">
        <w:rPr>
          <w:rFonts w:ascii="Times New Roman" w:hAnsi="Times New Roman" w:cs="Times New Roman"/>
          <w:color w:val="000000" w:themeColor="text1"/>
          <w:position w:val="-27"/>
          <w:szCs w:val="22"/>
        </w:rPr>
        <w:pict>
          <v:shape id="_x0000_i1025" style="width:195pt;height:38.25pt" coordsize="" o:spt="100" adj="0,,0" path="" filled="f" stroked="f">
            <v:stroke joinstyle="miter"/>
            <v:imagedata r:id="rId9" o:title="base_23623_276613_32768"/>
            <v:formulas/>
            <v:path o:connecttype="segments"/>
          </v:shape>
        </w:pic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б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1i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балл оценки i-го качественного критерия;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К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1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общее число качественных критериев;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К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1НП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число критериев, не применимых к проверяемому инвестиционному проекту.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6. Возможные значения баллов оценки по каждому из качественных критериев приведены в </w:t>
      </w:r>
      <w:hyperlink w:anchor="P541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>графе</w:t>
        </w:r>
      </w:hyperlink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 xml:space="preserve"> «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Допустимые баллы оценки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>»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таблицы приложения 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>№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3 к настоящей Методике.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Требования к определению баллов оценки по каждому из качественных критериев установлены </w:t>
      </w:r>
      <w:hyperlink w:anchor="P545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>пунктами 1</w:t>
        </w:r>
      </w:hyperlink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649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>13</w:t>
        </w:r>
      </w:hyperlink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таблицы приложения 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>№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3 к настоящей Методике.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Рекомендуемые показатели по критерию 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>«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Наличие четко сформулированной цели инвестиционного проекта с определением количественного показателя (показателей</w:t>
      </w:r>
      <w:r w:rsidR="007267AA" w:rsidRPr="004353BC">
        <w:rPr>
          <w:rFonts w:ascii="Times New Roman" w:hAnsi="Times New Roman" w:cs="Times New Roman"/>
          <w:color w:val="000000" w:themeColor="text1"/>
          <w:szCs w:val="22"/>
        </w:rPr>
        <w:t>) результатов его осуществления»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386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 xml:space="preserve">приложении </w:t>
        </w:r>
        <w:r w:rsidR="007267AA" w:rsidRPr="004353BC">
          <w:rPr>
            <w:rFonts w:ascii="Times New Roman" w:hAnsi="Times New Roman" w:cs="Times New Roman"/>
            <w:color w:val="000000" w:themeColor="text1"/>
            <w:szCs w:val="22"/>
          </w:rPr>
          <w:t>№</w:t>
        </w:r>
        <w:r w:rsidRPr="004353BC">
          <w:rPr>
            <w:rFonts w:ascii="Times New Roman" w:hAnsi="Times New Roman" w:cs="Times New Roman"/>
            <w:color w:val="000000" w:themeColor="text1"/>
            <w:szCs w:val="22"/>
          </w:rPr>
          <w:t xml:space="preserve"> 2</w:t>
        </w:r>
      </w:hyperlink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Раздел III. СОСТАВ, ПОРЯДОК ОПРЕДЕЛЕНИЯ БАЛЛОВ ОЦЕНКИ,</w:t>
      </w: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ВЕСОВЫХ КОЭФФИЦИЕНТОВ КОЛИЧЕСТВЕННЫХ КРИТЕРИЕВ И ОЦЕНКИ</w:t>
      </w: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ЭФФЕКТИВНОСТИ НА ОСНОВЕ КОЛИЧЕСТВЕННЫХ КРИТЕРИЕВ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8" w:name="P269"/>
      <w:bookmarkEnd w:id="18"/>
      <w:r w:rsidRPr="004353BC">
        <w:rPr>
          <w:rFonts w:ascii="Times New Roman" w:hAnsi="Times New Roman" w:cs="Times New Roman"/>
          <w:color w:val="000000" w:themeColor="text1"/>
          <w:szCs w:val="22"/>
        </w:rPr>
        <w:t>7. Оценка эффективности осуществляется на основе следующих количественных критериев: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4353BC">
        <w:rPr>
          <w:rFonts w:ascii="Times New Roman" w:hAnsi="Times New Roman" w:cs="Times New Roman"/>
          <w:color w:val="000000" w:themeColor="text1"/>
          <w:szCs w:val="22"/>
        </w:rPr>
        <w:t>1)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2) отношение проектной мощности строящегося (реконструируемого) объекта капитального 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lastRenderedPageBreak/>
        <w:t>строительства или приобретаемого объекта недвижимого имущества к мощности, необходимой для производства продукции (услуг) в объеме, предусмотренном для нужд населения в городском округе</w:t>
      </w:r>
      <w:r w:rsidR="002E368C" w:rsidRPr="004353BC">
        <w:rPr>
          <w:rFonts w:ascii="Times New Roman" w:hAnsi="Times New Roman" w:cs="Times New Roman"/>
          <w:color w:val="000000" w:themeColor="text1"/>
          <w:szCs w:val="22"/>
        </w:rPr>
        <w:t xml:space="preserve"> Пелым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3) наличие инженерной и транспортной инфраструктуры, мощностью, необходимой для реализации инвестиционного проекта;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4) значения количественных показателей (показателя) результатов реализации инвестиционного проекта;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5) срок окупаемости инвестиционного проекта после его реализации;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6) доля планируемого </w:t>
      </w:r>
      <w:proofErr w:type="spellStart"/>
      <w:r w:rsidRPr="004353BC">
        <w:rPr>
          <w:rFonts w:ascii="Times New Roman" w:hAnsi="Times New Roman" w:cs="Times New Roman"/>
          <w:color w:val="000000" w:themeColor="text1"/>
          <w:szCs w:val="22"/>
        </w:rPr>
        <w:t>софинансирования</w:t>
      </w:r>
      <w:proofErr w:type="spellEnd"/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инвестиционного проекта за счет средств федерального и областного бюджетов;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7) доля планируемого </w:t>
      </w:r>
      <w:proofErr w:type="spellStart"/>
      <w:r w:rsidRPr="004353BC">
        <w:rPr>
          <w:rFonts w:ascii="Times New Roman" w:hAnsi="Times New Roman" w:cs="Times New Roman"/>
          <w:color w:val="000000" w:themeColor="text1"/>
          <w:szCs w:val="22"/>
        </w:rPr>
        <w:t>софинансирования</w:t>
      </w:r>
      <w:proofErr w:type="spellEnd"/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инвестиционного проекта за счет средств внебюджетных источников;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9" w:name="P277"/>
      <w:bookmarkEnd w:id="19"/>
      <w:r w:rsidRPr="004353BC">
        <w:rPr>
          <w:rFonts w:ascii="Times New Roman" w:hAnsi="Times New Roman" w:cs="Times New Roman"/>
          <w:color w:val="000000" w:themeColor="text1"/>
          <w:szCs w:val="22"/>
        </w:rPr>
        <w:t>8) наличие средств для обеспечения функционирования (эксплуатации) объекта капитального строительства или объекта недвижимого имущества после реализации инвестиционного проекта;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9) количество создаваемых (модернизируемых) постоянных рабочих мест в результате реализации инвестиционного проекта;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10) количество создаваемых временных рабочих мест при реализации инвестиционного проекта.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В случае Проверки инвестиционных проектов, предусматривающих инвестиции в объекты юридических лиц, количественный критерий, указанный в </w:t>
      </w:r>
      <w:hyperlink w:anchor="P277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>подпункте 8</w:t>
        </w:r>
      </w:hyperlink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настоящего пункта, не используется.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8. Оценка эффективности на основе количественных критериев рассчитывается по следующей формуле: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52097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20970">
        <w:rPr>
          <w:rFonts w:ascii="Times New Roman" w:hAnsi="Times New Roman" w:cs="Times New Roman"/>
          <w:color w:val="000000" w:themeColor="text1"/>
          <w:position w:val="-27"/>
          <w:szCs w:val="22"/>
        </w:rPr>
        <w:pict>
          <v:shape id="_x0000_i1026" style="width:108.75pt;height:38.25pt" coordsize="" o:spt="100" adj="0,,0" path="" filled="f" stroked="f">
            <v:stroke joinstyle="miter"/>
            <v:imagedata r:id="rId10" o:title="base_23623_276613_32769"/>
            <v:formulas/>
            <v:path o:connecttype="segments"/>
          </v:shape>
        </w:pic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б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2i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балл оценки i-го количественного критерия;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4353BC">
        <w:rPr>
          <w:rFonts w:ascii="Times New Roman" w:hAnsi="Times New Roman" w:cs="Times New Roman"/>
          <w:color w:val="000000" w:themeColor="text1"/>
          <w:szCs w:val="22"/>
        </w:rPr>
        <w:t>Р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i</w:t>
      </w:r>
      <w:proofErr w:type="spellEnd"/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весовой коэффициент i-го количественного критерия, в процентах;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4353BC">
        <w:rPr>
          <w:rFonts w:ascii="Times New Roman" w:hAnsi="Times New Roman" w:cs="Times New Roman"/>
          <w:color w:val="000000" w:themeColor="text1"/>
          <w:szCs w:val="22"/>
        </w:rPr>
        <w:t>К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i</w:t>
      </w:r>
      <w:proofErr w:type="spellEnd"/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общее число количественных критериев.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Сумма весовых коэффициентов по всем количественным критериям составляет 100 процентов.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9. Требования к определению баллов оценки по каждому из количественных критериев установлены </w:t>
      </w:r>
      <w:hyperlink w:anchor="P681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>пунктами 1</w:t>
        </w:r>
      </w:hyperlink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806" w:history="1">
        <w:r w:rsidRPr="004353BC">
          <w:rPr>
            <w:rFonts w:ascii="Times New Roman" w:hAnsi="Times New Roman" w:cs="Times New Roman"/>
            <w:color w:val="000000" w:themeColor="text1"/>
            <w:szCs w:val="22"/>
          </w:rPr>
          <w:t>10</w:t>
        </w:r>
      </w:hyperlink>
      <w:r w:rsidR="002E368C" w:rsidRPr="004353BC">
        <w:rPr>
          <w:rFonts w:ascii="Times New Roman" w:hAnsi="Times New Roman" w:cs="Times New Roman"/>
          <w:color w:val="000000" w:themeColor="text1"/>
          <w:szCs w:val="22"/>
        </w:rPr>
        <w:t xml:space="preserve"> графы таблицы приложения №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4 к настоящей Методике.</w:t>
      </w:r>
    </w:p>
    <w:p w:rsidR="00C33CE1" w:rsidRPr="004353BC" w:rsidRDefault="00520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w:anchor="P322" w:history="1">
        <w:r w:rsidR="00C33CE1" w:rsidRPr="004353BC">
          <w:rPr>
            <w:rFonts w:ascii="Times New Roman" w:hAnsi="Times New Roman" w:cs="Times New Roman"/>
            <w:color w:val="000000" w:themeColor="text1"/>
            <w:szCs w:val="22"/>
          </w:rPr>
          <w:t>Значения</w:t>
        </w:r>
      </w:hyperlink>
      <w:r w:rsidR="00C33CE1" w:rsidRPr="004353BC">
        <w:rPr>
          <w:rFonts w:ascii="Times New Roman" w:hAnsi="Times New Roman" w:cs="Times New Roman"/>
          <w:color w:val="000000" w:themeColor="text1"/>
          <w:szCs w:val="22"/>
        </w:rPr>
        <w:t xml:space="preserve"> весовых коэффициентов количественных критериев в зависимости от типа инвестиционного </w:t>
      </w:r>
      <w:r w:rsidR="002E368C" w:rsidRPr="004353BC">
        <w:rPr>
          <w:rFonts w:ascii="Times New Roman" w:hAnsi="Times New Roman" w:cs="Times New Roman"/>
          <w:color w:val="000000" w:themeColor="text1"/>
          <w:szCs w:val="22"/>
        </w:rPr>
        <w:t>проекта приведены в приложении №</w:t>
      </w:r>
      <w:r w:rsidR="00C33CE1" w:rsidRPr="004353BC">
        <w:rPr>
          <w:rFonts w:ascii="Times New Roman" w:hAnsi="Times New Roman" w:cs="Times New Roman"/>
          <w:color w:val="000000" w:themeColor="text1"/>
          <w:szCs w:val="22"/>
        </w:rPr>
        <w:t xml:space="preserve"> 1 к настоящей Методике.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Возможные значения баллов оценки по каждому из количественных критериев приведены в таблице </w:t>
      </w:r>
      <w:hyperlink w:anchor="P669" w:history="1">
        <w:r w:rsidR="002E368C" w:rsidRPr="004353BC">
          <w:rPr>
            <w:rFonts w:ascii="Times New Roman" w:hAnsi="Times New Roman" w:cs="Times New Roman"/>
            <w:color w:val="000000" w:themeColor="text1"/>
            <w:szCs w:val="22"/>
          </w:rPr>
          <w:t>приложения №</w:t>
        </w:r>
        <w:r w:rsidRPr="004353BC">
          <w:rPr>
            <w:rFonts w:ascii="Times New Roman" w:hAnsi="Times New Roman" w:cs="Times New Roman"/>
            <w:color w:val="000000" w:themeColor="text1"/>
            <w:szCs w:val="22"/>
          </w:rPr>
          <w:t xml:space="preserve"> 4</w:t>
        </w:r>
      </w:hyperlink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к настоящей Методике.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При </w:t>
      </w:r>
      <w:r w:rsidR="002E368C" w:rsidRPr="004353BC">
        <w:rPr>
          <w:rFonts w:ascii="Times New Roman" w:hAnsi="Times New Roman" w:cs="Times New Roman"/>
          <w:color w:val="000000" w:themeColor="text1"/>
          <w:szCs w:val="22"/>
        </w:rPr>
        <w:t>определении баллов по критерию «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наличие инженерной и транспортной инфраструктуры, мощностью, необходимой для реа</w:t>
      </w:r>
      <w:r w:rsidR="002E368C" w:rsidRPr="004353BC">
        <w:rPr>
          <w:rFonts w:ascii="Times New Roman" w:hAnsi="Times New Roman" w:cs="Times New Roman"/>
          <w:color w:val="000000" w:themeColor="text1"/>
          <w:szCs w:val="22"/>
        </w:rPr>
        <w:t>лизации инвестиционного проекта»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средневзвешенный уровень обеспеченности инженерной и транспортной инфраструктурой рассчитывается по следующей формуле: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52097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20970">
        <w:rPr>
          <w:rFonts w:ascii="Times New Roman" w:hAnsi="Times New Roman" w:cs="Times New Roman"/>
          <w:color w:val="000000" w:themeColor="text1"/>
          <w:position w:val="-26"/>
          <w:szCs w:val="22"/>
        </w:rPr>
        <w:lastRenderedPageBreak/>
        <w:pict>
          <v:shape id="_x0000_i1027" style="width:96pt;height:36.75pt" coordsize="" o:spt="100" adj="0,,0" path="" filled="f" stroked="f">
            <v:stroke joinstyle="miter"/>
            <v:imagedata r:id="rId11" o:title="base_23623_276613_32770"/>
            <v:formulas/>
            <v:path o:connecttype="segments"/>
          </v:shape>
        </w:pic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4353BC">
        <w:rPr>
          <w:rFonts w:ascii="Times New Roman" w:hAnsi="Times New Roman" w:cs="Times New Roman"/>
          <w:color w:val="000000" w:themeColor="text1"/>
          <w:szCs w:val="22"/>
        </w:rPr>
        <w:t>u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i</w:t>
      </w:r>
      <w:proofErr w:type="spellEnd"/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4353BC">
        <w:rPr>
          <w:rFonts w:ascii="Times New Roman" w:hAnsi="Times New Roman" w:cs="Times New Roman"/>
          <w:color w:val="000000" w:themeColor="text1"/>
          <w:szCs w:val="22"/>
        </w:rPr>
        <w:t>энерго</w:t>
      </w:r>
      <w:proofErr w:type="spellEnd"/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-, </w:t>
      </w:r>
      <w:proofErr w:type="spellStart"/>
      <w:r w:rsidRPr="004353BC">
        <w:rPr>
          <w:rFonts w:ascii="Times New Roman" w:hAnsi="Times New Roman" w:cs="Times New Roman"/>
          <w:color w:val="000000" w:themeColor="text1"/>
          <w:szCs w:val="22"/>
        </w:rPr>
        <w:t>водо</w:t>
      </w:r>
      <w:proofErr w:type="spellEnd"/>
      <w:r w:rsidRPr="004353BC">
        <w:rPr>
          <w:rFonts w:ascii="Times New Roman" w:hAnsi="Times New Roman" w:cs="Times New Roman"/>
          <w:color w:val="000000" w:themeColor="text1"/>
          <w:szCs w:val="22"/>
        </w:rPr>
        <w:t>-, теплоснабжение, телефонная связь, объекты транспортной инфраструктуры), в процентах;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n - количество видов необходимой инженерной и транспортной инфраструктуры.</w:t>
      </w:r>
    </w:p>
    <w:p w:rsidR="00C33CE1" w:rsidRPr="004353BC" w:rsidRDefault="00C33CE1">
      <w:pPr>
        <w:pStyle w:val="ConsPlusNormal"/>
        <w:rPr>
          <w:color w:val="000000" w:themeColor="text1"/>
          <w:szCs w:val="22"/>
        </w:rPr>
      </w:pPr>
    </w:p>
    <w:p w:rsidR="00C33CE1" w:rsidRPr="004353BC" w:rsidRDefault="00C33CE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Раздел IV. РАСЧЕТ ИНТЕГРАЛЬНОЙ ОЦЕНКИ ЭФФЕКТИВНОСТИ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10. Интегральная оценка (Э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ИНТ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C33CE1" w:rsidRPr="004353BC" w:rsidRDefault="00C33CE1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Э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ИНТ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= Ч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1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x 0,2 + Ч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2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x 0,8, где: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Ч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1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оценка эффективности на основе качественных критериев;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Ч</w:t>
      </w:r>
      <w:r w:rsidRPr="004353BC">
        <w:rPr>
          <w:rFonts w:ascii="Times New Roman" w:hAnsi="Times New Roman" w:cs="Times New Roman"/>
          <w:color w:val="000000" w:themeColor="text1"/>
          <w:szCs w:val="22"/>
          <w:vertAlign w:val="subscript"/>
        </w:rPr>
        <w:t>2</w:t>
      </w:r>
      <w:r w:rsidRPr="004353BC">
        <w:rPr>
          <w:rFonts w:ascii="Times New Roman" w:hAnsi="Times New Roman" w:cs="Times New Roman"/>
          <w:color w:val="000000" w:themeColor="text1"/>
          <w:szCs w:val="22"/>
        </w:rPr>
        <w:t xml:space="preserve"> - оценка эффективности на основе количественных критериев;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11.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C33CE1" w:rsidRPr="004353BC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353BC">
        <w:rPr>
          <w:rFonts w:ascii="Times New Roman" w:hAnsi="Times New Roman" w:cs="Times New Roman"/>
          <w:color w:val="000000" w:themeColor="text1"/>
          <w:szCs w:val="22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33CE1" w:rsidRPr="004353BC" w:rsidRDefault="00C33CE1">
      <w:pPr>
        <w:pStyle w:val="ConsPlusNormal"/>
        <w:rPr>
          <w:color w:val="000000" w:themeColor="text1"/>
          <w:szCs w:val="22"/>
        </w:rPr>
      </w:pPr>
    </w:p>
    <w:p w:rsidR="00214F65" w:rsidRPr="004353BC" w:rsidRDefault="00214F65">
      <w:pPr>
        <w:pStyle w:val="ConsPlusNormal"/>
        <w:rPr>
          <w:color w:val="000000" w:themeColor="text1"/>
          <w:szCs w:val="22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Pr="004353BC" w:rsidRDefault="004353BC">
      <w:pPr>
        <w:pStyle w:val="ConsPlusNormal"/>
        <w:rPr>
          <w:color w:val="000000" w:themeColor="text1"/>
        </w:rPr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1261A4" w:rsidTr="00341007">
        <w:tc>
          <w:tcPr>
            <w:tcW w:w="5778" w:type="dxa"/>
          </w:tcPr>
          <w:p w:rsidR="001261A4" w:rsidRDefault="001261A4">
            <w:pPr>
              <w:pStyle w:val="ConsPlusNormal"/>
            </w:pPr>
          </w:p>
        </w:tc>
        <w:tc>
          <w:tcPr>
            <w:tcW w:w="4075" w:type="dxa"/>
          </w:tcPr>
          <w:p w:rsidR="001261A4" w:rsidRPr="00214F65" w:rsidRDefault="001261A4" w:rsidP="001261A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14F65">
              <w:rPr>
                <w:rFonts w:ascii="Times New Roman" w:hAnsi="Times New Roman" w:cs="Times New Roman"/>
              </w:rPr>
              <w:t>Приложение № 1</w:t>
            </w:r>
          </w:p>
          <w:p w:rsidR="001261A4" w:rsidRPr="00214F65" w:rsidRDefault="001261A4" w:rsidP="001261A4">
            <w:pPr>
              <w:pStyle w:val="ConsPlusNormal"/>
              <w:rPr>
                <w:rFonts w:ascii="Times New Roman" w:hAnsi="Times New Roman" w:cs="Times New Roman"/>
              </w:rPr>
            </w:pPr>
            <w:r w:rsidRPr="00214F65">
              <w:rPr>
                <w:rFonts w:ascii="Times New Roman" w:hAnsi="Times New Roman" w:cs="Times New Roman"/>
              </w:rPr>
              <w:t>к Методике оценки</w:t>
            </w:r>
          </w:p>
          <w:p w:rsidR="001261A4" w:rsidRPr="00214F65" w:rsidRDefault="001261A4" w:rsidP="001261A4">
            <w:pPr>
              <w:pStyle w:val="ConsPlusNormal"/>
              <w:rPr>
                <w:rFonts w:ascii="Times New Roman" w:hAnsi="Times New Roman" w:cs="Times New Roman"/>
              </w:rPr>
            </w:pPr>
            <w:r w:rsidRPr="00214F65">
              <w:rPr>
                <w:rFonts w:ascii="Times New Roman" w:hAnsi="Times New Roman" w:cs="Times New Roman"/>
              </w:rPr>
              <w:t>инвестиционных проектов на предмет</w:t>
            </w:r>
          </w:p>
          <w:p w:rsidR="001261A4" w:rsidRPr="00214F65" w:rsidRDefault="001261A4" w:rsidP="001261A4">
            <w:pPr>
              <w:pStyle w:val="ConsPlusNormal"/>
              <w:rPr>
                <w:rFonts w:ascii="Times New Roman" w:hAnsi="Times New Roman" w:cs="Times New Roman"/>
              </w:rPr>
            </w:pPr>
            <w:r w:rsidRPr="00214F65">
              <w:rPr>
                <w:rFonts w:ascii="Times New Roman" w:hAnsi="Times New Roman" w:cs="Times New Roman"/>
              </w:rPr>
              <w:t>эффективности использования средств</w:t>
            </w:r>
          </w:p>
          <w:p w:rsidR="001261A4" w:rsidRPr="00214F65" w:rsidRDefault="001261A4" w:rsidP="001261A4">
            <w:pPr>
              <w:pStyle w:val="ConsPlusNormal"/>
              <w:rPr>
                <w:rFonts w:ascii="Times New Roman" w:hAnsi="Times New Roman" w:cs="Times New Roman"/>
              </w:rPr>
            </w:pPr>
            <w:r w:rsidRPr="00214F65">
              <w:rPr>
                <w:rFonts w:ascii="Times New Roman" w:hAnsi="Times New Roman" w:cs="Times New Roman"/>
              </w:rPr>
              <w:t>бюджета городского округа Пелым,</w:t>
            </w:r>
          </w:p>
          <w:p w:rsidR="001261A4" w:rsidRDefault="001261A4" w:rsidP="001261A4">
            <w:pPr>
              <w:pStyle w:val="ConsPlusNormal"/>
            </w:pPr>
            <w:r w:rsidRPr="00214F65">
              <w:rPr>
                <w:rFonts w:ascii="Times New Roman" w:hAnsi="Times New Roman" w:cs="Times New Roman"/>
              </w:rPr>
              <w:t>направляемых на капитальные вложения</w:t>
            </w:r>
          </w:p>
        </w:tc>
      </w:tr>
    </w:tbl>
    <w:p w:rsidR="004353BC" w:rsidRPr="00341007" w:rsidRDefault="004353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CE1" w:rsidRPr="00341007" w:rsidRDefault="00C33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CE1" w:rsidRPr="00214F65" w:rsidRDefault="00C33CE1">
      <w:pPr>
        <w:pStyle w:val="ConsPlusTitle"/>
        <w:jc w:val="center"/>
        <w:rPr>
          <w:rFonts w:ascii="Times New Roman" w:hAnsi="Times New Roman" w:cs="Times New Roman"/>
        </w:rPr>
      </w:pPr>
      <w:bookmarkStart w:id="20" w:name="P322"/>
      <w:bookmarkEnd w:id="20"/>
      <w:r w:rsidRPr="00214F65">
        <w:rPr>
          <w:rFonts w:ascii="Times New Roman" w:hAnsi="Times New Roman" w:cs="Times New Roman"/>
        </w:rPr>
        <w:t>ЗНАЧЕНИЕ</w:t>
      </w:r>
    </w:p>
    <w:p w:rsidR="00C33CE1" w:rsidRPr="00214F65" w:rsidRDefault="00C33CE1">
      <w:pPr>
        <w:pStyle w:val="ConsPlusTitle"/>
        <w:jc w:val="center"/>
        <w:rPr>
          <w:rFonts w:ascii="Times New Roman" w:hAnsi="Times New Roman" w:cs="Times New Roman"/>
        </w:rPr>
      </w:pPr>
      <w:r w:rsidRPr="00214F65">
        <w:rPr>
          <w:rFonts w:ascii="Times New Roman" w:hAnsi="Times New Roman" w:cs="Times New Roman"/>
        </w:rPr>
        <w:t>ВЕСОВЫХ КОЭФФИЦИЕНТОВ КОЛИЧЕСТВЕННЫХ КРИТЕРИЕВ В ПРОЦЕНТАХ</w:t>
      </w:r>
    </w:p>
    <w:p w:rsidR="00C33CE1" w:rsidRDefault="00C33CE1">
      <w:pPr>
        <w:pStyle w:val="ConsPlusNormal"/>
      </w:pPr>
    </w:p>
    <w:tbl>
      <w:tblPr>
        <w:tblW w:w="1077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748"/>
        <w:gridCol w:w="1701"/>
        <w:gridCol w:w="1702"/>
      </w:tblGrid>
      <w:tr w:rsidR="00C33CE1" w:rsidRPr="00214F65" w:rsidTr="001261A4">
        <w:tc>
          <w:tcPr>
            <w:tcW w:w="624" w:type="dxa"/>
            <w:vMerge w:val="restart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748" w:type="dxa"/>
            <w:vMerge w:val="restart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Критерий</w:t>
            </w:r>
          </w:p>
        </w:tc>
        <w:tc>
          <w:tcPr>
            <w:tcW w:w="3403" w:type="dxa"/>
            <w:gridSpan w:val="2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Строительство (реконструкция), приобретение объектов капитального строительства</w:t>
            </w:r>
          </w:p>
        </w:tc>
      </w:tr>
      <w:tr w:rsidR="00C33CE1" w:rsidRPr="00214F65" w:rsidTr="001261A4">
        <w:tc>
          <w:tcPr>
            <w:tcW w:w="624" w:type="dxa"/>
            <w:vMerge/>
          </w:tcPr>
          <w:p w:rsidR="00C33CE1" w:rsidRPr="00214F65" w:rsidRDefault="00C33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8" w:type="dxa"/>
            <w:vMerge/>
          </w:tcPr>
          <w:p w:rsidR="00C33CE1" w:rsidRPr="00214F65" w:rsidRDefault="00C33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производственного назначени</w:t>
            </w:r>
            <w:r w:rsidR="001261A4">
              <w:rPr>
                <w:rFonts w:ascii="Times New Roman" w:hAnsi="Times New Roman" w:cs="Times New Roman"/>
                <w:sz w:val="20"/>
              </w:rPr>
              <w:t xml:space="preserve">я, транспортной </w:t>
            </w:r>
            <w:proofErr w:type="spellStart"/>
            <w:r w:rsidR="001261A4">
              <w:rPr>
                <w:rFonts w:ascii="Times New Roman" w:hAnsi="Times New Roman" w:cs="Times New Roman"/>
                <w:sz w:val="20"/>
              </w:rPr>
              <w:t>инфраструктуры.</w:t>
            </w:r>
            <w:r w:rsidRPr="00214F65">
              <w:rPr>
                <w:rFonts w:ascii="Times New Roman" w:hAnsi="Times New Roman" w:cs="Times New Roman"/>
                <w:sz w:val="20"/>
              </w:rPr>
              <w:t>инфраструктуры</w:t>
            </w:r>
            <w:proofErr w:type="spellEnd"/>
            <w:r w:rsidRPr="00214F65">
              <w:rPr>
                <w:rFonts w:ascii="Times New Roman" w:hAnsi="Times New Roman" w:cs="Times New Roman"/>
                <w:sz w:val="20"/>
              </w:rPr>
              <w:t xml:space="preserve"> национальной инновационной системы и другие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Отношение проектной мощности строящегося (реконструируемого) объекта капитального строительства или приобретаемого объекта недвижимого имущества к мощности, необходимой для производства продукции (услуг) в объеме, предусмотренном для нужд населения Полевского городского округа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Наличие инженерной и транспортной инфраструктуры, мощностью, необходимой для реализации инвестиционного проекта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Срок окупаемости проекта после его реализации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 xml:space="preserve">Доля планируемого </w:t>
            </w:r>
            <w:proofErr w:type="spellStart"/>
            <w:r w:rsidRPr="00214F65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214F65">
              <w:rPr>
                <w:rFonts w:ascii="Times New Roman" w:hAnsi="Times New Roman" w:cs="Times New Roman"/>
                <w:sz w:val="20"/>
              </w:rPr>
              <w:t xml:space="preserve"> проекта за счет средств федерального и областного бюджетов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 xml:space="preserve">Доля планируемого </w:t>
            </w:r>
            <w:proofErr w:type="spellStart"/>
            <w:r w:rsidRPr="00214F65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214F65">
              <w:rPr>
                <w:rFonts w:ascii="Times New Roman" w:hAnsi="Times New Roman" w:cs="Times New Roman"/>
                <w:sz w:val="20"/>
              </w:rPr>
              <w:t xml:space="preserve"> проекта 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Наличие средств для обеспечения функционирования (эксплуатации) объекта капитального строительства (реконструкции), объекта недвижимого имущества после реализации инвестиционного проекта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Количество создаваемых (модернизируемых) постоянных рабочих мест в результате реализации проекта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Количество создаваемых временных рабочих мест при реализации проекта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33CE1" w:rsidRPr="00214F65" w:rsidTr="001261A4">
        <w:tc>
          <w:tcPr>
            <w:tcW w:w="624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8" w:type="dxa"/>
            <w:vAlign w:val="center"/>
          </w:tcPr>
          <w:p w:rsidR="00C33CE1" w:rsidRPr="00214F65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33CE1" w:rsidRPr="00214F65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6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C33CE1" w:rsidRDefault="00C33CE1">
      <w:pPr>
        <w:pStyle w:val="ConsPlusNormal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1261A4" w:rsidTr="001261A4">
        <w:tc>
          <w:tcPr>
            <w:tcW w:w="5353" w:type="dxa"/>
          </w:tcPr>
          <w:p w:rsidR="001261A4" w:rsidRDefault="001261A4">
            <w:pPr>
              <w:pStyle w:val="ConsPlusNormal"/>
            </w:pPr>
          </w:p>
        </w:tc>
        <w:tc>
          <w:tcPr>
            <w:tcW w:w="4500" w:type="dxa"/>
          </w:tcPr>
          <w:p w:rsidR="001261A4" w:rsidRPr="004353BC" w:rsidRDefault="001261A4" w:rsidP="001261A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2</w:t>
            </w:r>
          </w:p>
          <w:p w:rsidR="001261A4" w:rsidRPr="004353BC" w:rsidRDefault="001261A4" w:rsidP="001261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Методике оценки</w:t>
            </w:r>
          </w:p>
          <w:p w:rsidR="001261A4" w:rsidRPr="004353BC" w:rsidRDefault="001261A4" w:rsidP="001261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инвестиционных проектов на предмет</w:t>
            </w:r>
          </w:p>
          <w:p w:rsidR="001261A4" w:rsidRPr="004353BC" w:rsidRDefault="001261A4" w:rsidP="001261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использования средств</w:t>
            </w:r>
          </w:p>
          <w:p w:rsidR="001261A4" w:rsidRPr="004353BC" w:rsidRDefault="001261A4" w:rsidP="001261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городского округа Пелым,</w:t>
            </w:r>
          </w:p>
          <w:p w:rsidR="001261A4" w:rsidRDefault="001261A4" w:rsidP="001261A4">
            <w:pPr>
              <w:pStyle w:val="ConsPlusNormal"/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направляемых на капитальные вложения</w:t>
            </w:r>
          </w:p>
        </w:tc>
      </w:tr>
    </w:tbl>
    <w:p w:rsidR="00C33CE1" w:rsidRPr="001261A4" w:rsidRDefault="00C33C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CE1" w:rsidRPr="001261A4" w:rsidRDefault="00C33CE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386"/>
      <w:bookmarkEnd w:id="21"/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РЕКОМЕНДУЕМЫЕ КОЛИЧЕСТВЕННЫЕ ПОКАЗАТЕЛИ,</w:t>
      </w: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ХАРАКТЕРИЗУЮЩИЕ ЦЕЛЬ И РЕЗУЛЬТАТЫ РЕАЛИЗАЦИИ</w:t>
      </w: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BC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ИНВЕСТИЦИОННОГО ПРОЕКТА</w:t>
      </w:r>
    </w:p>
    <w:p w:rsidR="00C33CE1" w:rsidRPr="004353BC" w:rsidRDefault="00C33CE1">
      <w:pPr>
        <w:pStyle w:val="ConsPlusNormal"/>
        <w:rPr>
          <w:color w:val="000000" w:themeColor="text1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76"/>
        <w:gridCol w:w="2976"/>
        <w:gridCol w:w="4475"/>
      </w:tblGrid>
      <w:tr w:rsidR="004353BC" w:rsidRPr="004353BC" w:rsidTr="00214F65">
        <w:tc>
          <w:tcPr>
            <w:tcW w:w="680" w:type="dxa"/>
            <w:vMerge w:val="restart"/>
          </w:tcPr>
          <w:p w:rsidR="00C33CE1" w:rsidRPr="004353BC" w:rsidRDefault="004353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C33CE1"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п/п</w:t>
            </w:r>
          </w:p>
        </w:tc>
        <w:tc>
          <w:tcPr>
            <w:tcW w:w="2076" w:type="dxa"/>
            <w:vMerge w:val="restart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 капитального строительства</w:t>
            </w:r>
          </w:p>
        </w:tc>
        <w:tc>
          <w:tcPr>
            <w:tcW w:w="7451" w:type="dxa"/>
            <w:gridSpan w:val="2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Количественный показатель</w:t>
            </w:r>
          </w:p>
        </w:tc>
      </w:tr>
      <w:tr w:rsidR="004353BC" w:rsidRPr="004353BC" w:rsidTr="00214F65">
        <w:tc>
          <w:tcPr>
            <w:tcW w:w="680" w:type="dxa"/>
            <w:vMerge/>
          </w:tcPr>
          <w:p w:rsidR="00C33CE1" w:rsidRPr="004353BC" w:rsidRDefault="00C33C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6" w:type="dxa"/>
            <w:vMerge/>
          </w:tcPr>
          <w:p w:rsidR="00C33CE1" w:rsidRPr="004353BC" w:rsidRDefault="00C33C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характеризующий прямые (непосредственные) результаты проекта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характеризующий конечные результаты проекта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9527" w:type="dxa"/>
            <w:gridSpan w:val="3"/>
          </w:tcPr>
          <w:p w:rsidR="00C33CE1" w:rsidRPr="004353BC" w:rsidRDefault="00C33C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СТРОИТЕЛЬСТВО ОБЪЕКТОВ ЗДРАВООХРАНЕНИЯ, ОБРАЗОВАНИЯ, КУЛЬТУРЫ И СПОРТА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Учреждения здравоохранения (медицинские центры, больницы, поликлиники, родильные дома, диспансеры и другое)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мощность объекта: количество койко-мест; количество посещений в смену;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общая площадь здания,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строительный объем, куб. метров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рост обеспеченности населения региона, муниципального образования или входящих в него населенных пунктов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мощность объекта: количество мест;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общая площадь здания,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строительный объем, куб. метров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рост обеспеченности региона, муниципального образования или входящих в него населенных пунктов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Учреждения культуры (театры, музеи, библиотеки и другое)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мощность объекта: количество мест, количество посетителей в день;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для библиотек - количество единиц библиотечного фонда;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общая площадь здания,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строительный объем, куб. метров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рост обеспеченности региона, муниципального образования или входящих в него населенных пунктов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Учреждения </w:t>
            </w: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1) мощность объекта: </w:t>
            </w: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количество мест;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общая площадь здания,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строительный объем, куб. метров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1) количество создаваемых (сохраняемых) </w:t>
            </w: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рост обеспеченности региона, муниципального образования или входящих в него населенных пунктов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Объекты физической культуры, спорта и туризма (стадионы, спортивные центры, ледовые арены, плавательные бассейны и другие сооружения спорта и туризма)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мощность объекта: пропускная способность сооружений, количество мест, тыс. человек;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общая площадь здания,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строительный объем, куб. метров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рост обеспеченности региона, муниципального образования или входящих в него населенных пунктов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</w:p>
        </w:tc>
        <w:tc>
          <w:tcPr>
            <w:tcW w:w="9527" w:type="dxa"/>
            <w:gridSpan w:val="3"/>
          </w:tcPr>
          <w:p w:rsidR="00C33CE1" w:rsidRPr="004353BC" w:rsidRDefault="00C33C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СТРОИТЕЛЬСТВО ОБЩЕСТВЕННЫХ ЗДАНИЙ И ЖИЛЫХ ПОМЕЩЕНИЙ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Жилые дома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общая площадь объекта,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полезная жилая площадь объекта,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количество квартир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сокращение количества очередников на улучшение жилищных условий в регионе, муниципальном образовании или входящих в него населенных пунктах, в процентах к количеству очередников до реализации проекта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9.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Административные здания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общая площадь объекта,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полезная и служебная площадь объекта,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строительный объем куб. метров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10.</w:t>
            </w:r>
          </w:p>
        </w:tc>
        <w:tc>
          <w:tcPr>
            <w:tcW w:w="9527" w:type="dxa"/>
            <w:gridSpan w:val="3"/>
          </w:tcPr>
          <w:p w:rsidR="00C33CE1" w:rsidRPr="004353BC" w:rsidRDefault="00C33C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СТРОИТЕЛЬСТВО ОБЪЕКТОВ КОММУНАЛЬНОЙ ИНФРАСТРУКТУРЫ И ОХРАНЫ ОКРУЖАЮЩЕЙ СРЕДЫ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11.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Очистные сооружения (для защиты водных ресурсов и воздушного бассейна от бытовых техногенных загрязнений)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сокращение концентрации вредных веществ в сбросах (выбросах), в процентах к их концентрации до реализации проекта;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соответствие концентрации вредных веществ предельно допустимой концентрации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12.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общая площадь (объем) объекта, кв. метров (куб. метров);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общая площадь защищаемой от наводнения (оползня) береговой зоны, тыс.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13.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Объекты по переработке и захоронению </w:t>
            </w: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токсичных промышленных отходов (ТПО)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мощность объекта: объем переработки очищаемого ресурса, куб. метров (тонн) в </w:t>
            </w: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сутки (год)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2) срок безопасного хранения захороненных </w:t>
            </w: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ТПО, лет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14.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предотвращение выбытия из сельскохозяйственного оборота сельхозугодий, гектары;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прирост сельскохозяйственной продукции в результате проведенных мероприятий, тонн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15.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мощность объекта в соответствующих натуральных единицах измерения;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размерные и иные характеристики объекта (газопровода-отвода - км, давление; электрических сетей - км, напряжение и другое)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создаваемых, сохраняемых рабочих мест;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увеличение количества населенных пунктов, имеющих водопровод и канализацию,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увеличение уровня газификации региона, муниципального образования или входящих в него населенных пунктов, в процентах к уровню газификации до начала реализации проекта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16.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Сортировка, переработка и утилизация твердых бытовых отходов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2) закрытие существующих свалок твердых бытовых отходов, общая площадь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рекультативных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земель, гектары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17.</w:t>
            </w:r>
          </w:p>
        </w:tc>
        <w:tc>
          <w:tcPr>
            <w:tcW w:w="9527" w:type="dxa"/>
            <w:gridSpan w:val="3"/>
          </w:tcPr>
          <w:p w:rsidR="00C33CE1" w:rsidRPr="004353BC" w:rsidRDefault="00C33C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СТРОИТЕЛЬСТВО ПРОИЗВОДСТВЕННЫХ ОБЪЕКТОВ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18.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Производственные объекты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19.</w:t>
            </w:r>
          </w:p>
        </w:tc>
        <w:tc>
          <w:tcPr>
            <w:tcW w:w="9527" w:type="dxa"/>
            <w:gridSpan w:val="3"/>
          </w:tcPr>
          <w:p w:rsidR="00C33CE1" w:rsidRPr="004353BC" w:rsidRDefault="00C33C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СТРОИТЕЛЬСТВО ИНФРАСТРУКТУРЫ ИННОВАЦИОННОЙ СИСТЕМЫ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20.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нанотехнологий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;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нанопроизводства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общая площадь объекта,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количество новых технологий, уровень новизны образцов новой техники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21.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инновационно-технологические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центры,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бизнес-инкубаторы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другое)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1) общая площадь объекта,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2) иные размерные характеристики объекта в соответствующих единицах </w:t>
            </w: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измерения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2) повышение доли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инновационно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активных организаций, осуществляющих технологические инновации, в общем числе </w:t>
            </w: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организаций, процентов;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повышение доли инновационной продукции в общем объеме выпускаемой продукции, в процентах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22.</w:t>
            </w:r>
          </w:p>
        </w:tc>
        <w:tc>
          <w:tcPr>
            <w:tcW w:w="9527" w:type="dxa"/>
            <w:gridSpan w:val="3"/>
          </w:tcPr>
          <w:p w:rsidR="00C33CE1" w:rsidRPr="004353BC" w:rsidRDefault="00C33C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СТРОИТЕЛЬСТВО ОБЪЕКТОВ ТРАНСПОРТНОЙ ИНФРАСТРУКТУРЫ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23.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эксплуатационная длина путей сообщения общего пользования, км;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количество создаваемых (сохраняемых) рабочих мест, единицы;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2) объем (увеличение объема): грузооборота транспорта общего пользования,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тонно-км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пассажиро-км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год;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сокращение времени пребывания грузов, пассажиров в пути, процентов;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4353BC" w:rsidRPr="004353BC" w:rsidTr="00214F65">
        <w:tc>
          <w:tcPr>
            <w:tcW w:w="68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24.</w:t>
            </w:r>
          </w:p>
        </w:tc>
        <w:tc>
          <w:tcPr>
            <w:tcW w:w="20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Мосты, тоннели</w:t>
            </w:r>
          </w:p>
        </w:tc>
        <w:tc>
          <w:tcPr>
            <w:tcW w:w="2976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общая площадь объекта, кв. метров;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2) эксплуатационная длина объекта, км;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447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1) объем (увеличение объема) грузооборота транспорта общего пользования, тонн/км в год;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2)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пассажиро-км</w:t>
            </w:r>
            <w:proofErr w:type="spellEnd"/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год;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Cs w:val="22"/>
              </w:rPr>
              <w:t>3) сокращение времени пребывания грузов, пассажиров в пути, процентов</w:t>
            </w:r>
          </w:p>
        </w:tc>
      </w:tr>
    </w:tbl>
    <w:p w:rsidR="00C33CE1" w:rsidRPr="004353BC" w:rsidRDefault="00C33CE1">
      <w:pPr>
        <w:pStyle w:val="ConsPlusNormal"/>
        <w:rPr>
          <w:color w:val="000000" w:themeColor="text1"/>
        </w:rPr>
      </w:pPr>
    </w:p>
    <w:p w:rsidR="00C33CE1" w:rsidRPr="004353BC" w:rsidRDefault="00C33CE1">
      <w:pPr>
        <w:pStyle w:val="ConsPlusNormal"/>
        <w:rPr>
          <w:color w:val="000000" w:themeColor="text1"/>
        </w:rPr>
      </w:pPr>
    </w:p>
    <w:p w:rsidR="00C33CE1" w:rsidRPr="004353BC" w:rsidRDefault="00C33CE1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Pr="004353BC" w:rsidRDefault="00214F65">
      <w:pPr>
        <w:pStyle w:val="ConsPlusNormal"/>
        <w:rPr>
          <w:color w:val="000000" w:themeColor="text1"/>
        </w:rPr>
      </w:pPr>
    </w:p>
    <w:p w:rsidR="00214F65" w:rsidRDefault="00214F65">
      <w:pPr>
        <w:pStyle w:val="ConsPlusNormal"/>
      </w:pPr>
    </w:p>
    <w:p w:rsidR="00214F65" w:rsidRDefault="00214F65">
      <w:pPr>
        <w:pStyle w:val="ConsPlusNormal"/>
      </w:pPr>
    </w:p>
    <w:p w:rsidR="00214F65" w:rsidRDefault="00214F65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4353BC" w:rsidRDefault="004353BC">
      <w:pPr>
        <w:pStyle w:val="ConsPlusNormal"/>
      </w:pPr>
    </w:p>
    <w:p w:rsidR="00F233D4" w:rsidRDefault="00F233D4">
      <w:pPr>
        <w:pStyle w:val="ConsPlusNormal"/>
        <w:jc w:val="right"/>
        <w:outlineLvl w:val="1"/>
      </w:pPr>
    </w:p>
    <w:p w:rsidR="003142C7" w:rsidRDefault="003142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142C7" w:rsidSect="001261A4">
          <w:pgSz w:w="11906" w:h="16838"/>
          <w:pgMar w:top="1134" w:right="851" w:bottom="851" w:left="1418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3142C7" w:rsidTr="006A53E4">
        <w:tc>
          <w:tcPr>
            <w:tcW w:w="10314" w:type="dxa"/>
          </w:tcPr>
          <w:p w:rsidR="003142C7" w:rsidRDefault="003142C7" w:rsidP="003142C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142C7" w:rsidRPr="00214F65" w:rsidRDefault="003142C7" w:rsidP="003142C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4F6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142C7" w:rsidRPr="00214F65" w:rsidRDefault="003142C7" w:rsidP="00314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5">
              <w:rPr>
                <w:rFonts w:ascii="Times New Roman" w:hAnsi="Times New Roman" w:cs="Times New Roman"/>
                <w:sz w:val="24"/>
                <w:szCs w:val="24"/>
              </w:rPr>
              <w:t>к Методике оценки</w:t>
            </w:r>
          </w:p>
          <w:p w:rsidR="003142C7" w:rsidRPr="00214F65" w:rsidRDefault="003142C7" w:rsidP="00314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5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 на предмет</w:t>
            </w:r>
          </w:p>
          <w:p w:rsidR="003142C7" w:rsidRPr="00214F65" w:rsidRDefault="003142C7" w:rsidP="00314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5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средств</w:t>
            </w:r>
          </w:p>
          <w:p w:rsidR="003142C7" w:rsidRPr="00214F65" w:rsidRDefault="003142C7" w:rsidP="00314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5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Пелым,</w:t>
            </w:r>
          </w:p>
          <w:p w:rsidR="003142C7" w:rsidRDefault="003142C7" w:rsidP="003142C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F65">
              <w:rPr>
                <w:rFonts w:ascii="Times New Roman" w:hAnsi="Times New Roman" w:cs="Times New Roman"/>
                <w:sz w:val="24"/>
                <w:szCs w:val="24"/>
              </w:rPr>
              <w:t>направляемых</w:t>
            </w:r>
            <w:proofErr w:type="gramEnd"/>
            <w:r w:rsidRPr="00214F65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капитальные вложения</w:t>
            </w:r>
          </w:p>
        </w:tc>
      </w:tr>
    </w:tbl>
    <w:p w:rsidR="003142C7" w:rsidRDefault="003142C7" w:rsidP="003142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33CE1" w:rsidRPr="00214F65" w:rsidRDefault="00C3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CE1" w:rsidRDefault="00C33CE1">
      <w:pPr>
        <w:pStyle w:val="ConsPlusTitle"/>
        <w:jc w:val="center"/>
        <w:rPr>
          <w:rFonts w:ascii="Times New Roman" w:hAnsi="Times New Roman" w:cs="Times New Roman"/>
        </w:rPr>
      </w:pPr>
      <w:r w:rsidRPr="00214F65">
        <w:rPr>
          <w:rFonts w:ascii="Times New Roman" w:hAnsi="Times New Roman" w:cs="Times New Roman"/>
        </w:rPr>
        <w:t>ОЦЕНКА</w:t>
      </w:r>
    </w:p>
    <w:p w:rsidR="004C2CB4" w:rsidRPr="00214F65" w:rsidRDefault="004C2CB4" w:rsidP="004C2CB4">
      <w:pPr>
        <w:pStyle w:val="ConsPlusTitle"/>
        <w:jc w:val="center"/>
        <w:rPr>
          <w:rFonts w:ascii="Times New Roman" w:hAnsi="Times New Roman" w:cs="Times New Roman"/>
        </w:rPr>
      </w:pPr>
      <w:r w:rsidRPr="00214F65">
        <w:rPr>
          <w:rFonts w:ascii="Times New Roman" w:hAnsi="Times New Roman" w:cs="Times New Roman"/>
        </w:rPr>
        <w:t>СООТВЕТСТВИЯ ИНВЕСТИЦИОННОГО ПРОЕКТА КАЧЕСТВЕННЫМ КРИТЕРИЯМ</w:t>
      </w:r>
    </w:p>
    <w:p w:rsidR="004C2CB4" w:rsidRDefault="004C2CB4">
      <w:pPr>
        <w:pStyle w:val="ConsPlusTitle"/>
        <w:jc w:val="center"/>
        <w:rPr>
          <w:rFonts w:ascii="Times New Roman" w:hAnsi="Times New Roman" w:cs="Times New Roman"/>
        </w:rPr>
      </w:pPr>
    </w:p>
    <w:p w:rsidR="004C2CB4" w:rsidRDefault="004C2CB4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2929"/>
        <w:gridCol w:w="1531"/>
        <w:gridCol w:w="1020"/>
        <w:gridCol w:w="4905"/>
        <w:gridCol w:w="4253"/>
      </w:tblGrid>
      <w:tr w:rsidR="004353BC" w:rsidRPr="004353BC" w:rsidTr="00214F65">
        <w:tc>
          <w:tcPr>
            <w:tcW w:w="672" w:type="dxa"/>
          </w:tcPr>
          <w:p w:rsidR="00C33CE1" w:rsidRPr="004353BC" w:rsidRDefault="00C33CE1" w:rsidP="004C2C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929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Критерий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2" w:name="P541"/>
            <w:bookmarkEnd w:id="22"/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Допустимые баллы оценки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Балл оценки (б1i)</w:t>
            </w: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Требования к определению баллов оценки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Требование к документальным подтверждениям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3" w:name="P545"/>
            <w:bookmarkEnd w:id="23"/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929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четко сформулированной цели инвестиционного проекта с определением количественного показателя (показателей) его осуществления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C33CE1" w:rsidRPr="004353B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«критерий не применим»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Балл, равный 1, присваивается инвестиционному проекту, если в паспорте инвестиционного проекта и обоснования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2929" w:type="dxa"/>
          </w:tcPr>
          <w:p w:rsidR="00C33CE1" w:rsidRPr="004353BC" w:rsidRDefault="00C33CE1" w:rsidP="00214F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необходимости реализации инвестиционного проекта в связи с осуществлением органами местного самоуправления  городского округа</w:t>
            </w:r>
            <w:r w:rsidR="00214F65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полномочий, отнесенных к предмету их ведения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C33CE1" w:rsidRPr="004353B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«критерий не применим»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 без строительства объекта капитального строительства, создаваемого в рамках инвестиционного проекта; без реконструкции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органами местного самоуправления полномочий, отнесенных к предмету их ведения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2929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государственных программ Свердловской области, муниципальных программ, выполняемых за счет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бюджетных средств, в рамках которых планируется реализовать инвестиционный проект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C33CE1" w:rsidRPr="004353B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«критерий не применим»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Балл, равный 1, присваивается в случае, если заявителем указаны наименования муниципальных программ, государственных программ Свердловской области в рамках которых планируется реализация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проекта.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Критерий не применим в отношении проектов, планирующих строительство (реконструкцию, техническое перевооружение) объектов капитального строительства, не относящихся к муниципальной собственности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1) указывается наименование муниципальной программы, в которую включается инвестиционный проект, или распоряжений (поручений);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2) реквизиты нормативно-правовых актов, утверждаемых государственные программы Свердловской области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</w:t>
            </w:r>
          </w:p>
        </w:tc>
        <w:tc>
          <w:tcPr>
            <w:tcW w:w="2929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Комплексный подход при реализации инвестиционного проекта во взаимосвязи с программными мероприятиями реализуемыми в муниципальных программах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Балл, равный 1, присваивается для инвестиционных проектов, включенных в одну из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проекта. Для муниципальных программ также указываются реквизиты нормативного правового акта, в соответствии с которым принята программа;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929" w:type="dxa"/>
          </w:tcPr>
          <w:p w:rsidR="00C33CE1" w:rsidRPr="004353BC" w:rsidRDefault="00C33CE1" w:rsidP="00214F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потребности в данной услуге (работе), оказываемой населению городского округа</w:t>
            </w:r>
            <w:r w:rsidR="00214F65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сфере, в которой планируется реализовать инвестиционный проект (далее - услуга)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Балл, равный 1, присваивается в случае, если в рамках проекта предполагается: производство замещающей продукции (работ, услуг) отсутствует,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929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Соответствие цели инвестиционного проекта приоритетам и целям, определенным в стратегии и программе социально-экономического развития поселения долгосрочных целевых программах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C33CE1" w:rsidRPr="004353B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«критерий не применим»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Приводятся наименование и реквизиты соответствующих нормативных правовых актов поселения, приоритет и цель, которым соответствует цель реализации инвестиционного проекта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929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Целесообразность использования при реализации инвестиционного проекта дорогостоящих строительных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C33CE1" w:rsidRPr="004353B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«критерий не применим»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обоснованным (балл, равный 1), если: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 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(или) импортных машин и оборудования</w:t>
            </w:r>
          </w:p>
        </w:tc>
      </w:tr>
      <w:tr w:rsidR="004353BC" w:rsidRPr="004353BC" w:rsidTr="00214F65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</w:t>
            </w:r>
          </w:p>
        </w:tc>
        <w:tc>
          <w:tcPr>
            <w:tcW w:w="2929" w:type="dxa"/>
            <w:tcBorders>
              <w:bottom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C33CE1" w:rsidRPr="004353B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«критерий не применим»</w:t>
            </w:r>
          </w:p>
        </w:tc>
        <w:tc>
          <w:tcPr>
            <w:tcW w:w="1020" w:type="dxa"/>
            <w:tcBorders>
              <w:bottom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  <w:tcBorders>
              <w:bottom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Подтверждением соответствия инвестиционного проекта указанному критерию (балл, равный 1) являются: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 указанный заявителем номер подпункта и пункта </w:t>
            </w:r>
            <w:hyperlink r:id="rId12" w:history="1">
              <w:r w:rsidRPr="004353B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статьи 49</w:t>
              </w:r>
            </w:hyperlink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</w:tc>
        <w:tc>
          <w:tcPr>
            <w:tcW w:w="4253" w:type="dxa"/>
            <w:tcBorders>
              <w:bottom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2) в случае, если проведение государственной экспертизы проектной документации не требуется: ссылка на соответствующие пункты и подпункты </w:t>
            </w:r>
            <w:hyperlink r:id="rId13" w:history="1">
              <w:r w:rsidRPr="004353BC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статьи 49</w:t>
              </w:r>
            </w:hyperlink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Градостроительного кодекса Российской Федерации; задание на проектирование</w:t>
            </w:r>
            <w:r w:rsidR="00214F65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, согласованное с заместителем главы а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дминистрации по курируемым направлениям (сферам) деятельности</w:t>
            </w:r>
          </w:p>
        </w:tc>
      </w:tr>
      <w:tr w:rsidR="004353BC" w:rsidRPr="004353BC" w:rsidTr="00214F65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4253" w:type="dxa"/>
            <w:tcBorders>
              <w:top w:val="nil"/>
            </w:tcBorders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929" w:type="dxa"/>
          </w:tcPr>
          <w:p w:rsidR="00C33CE1" w:rsidRPr="004353BC" w:rsidRDefault="00C33CE1" w:rsidP="00214F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оценки влияния результата реализации проекта на комплексное развитие  городского округа</w:t>
            </w:r>
            <w:r w:rsidR="00214F65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 балл присваивается проекту в случае наличия оценки влияния результата реализации проекта на комплексное развитие городского округа</w:t>
            </w:r>
            <w:r w:rsidR="009A0608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 баллов присваивается проекту в случае отсутствия оценки влияния результата реализации проекта на</w:t>
            </w:r>
            <w:r w:rsidR="009A0608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комплексное развитие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</w:t>
            </w:r>
            <w:r w:rsidR="009A0608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</w:p>
        </w:tc>
        <w:tc>
          <w:tcPr>
            <w:tcW w:w="4253" w:type="dxa"/>
          </w:tcPr>
          <w:p w:rsidR="00C33CE1" w:rsidRPr="004353BC" w:rsidRDefault="00C33CE1" w:rsidP="009A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Улучшение показателей социально-экономического развития городского округа</w:t>
            </w:r>
            <w:r w:rsidR="009A0608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2929" w:type="dxa"/>
          </w:tcPr>
          <w:p w:rsidR="00C33CE1" w:rsidRPr="004353BC" w:rsidRDefault="00C33CE1" w:rsidP="009A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объема муниципальных услуг, предоставляемых населению  городского округа</w:t>
            </w:r>
            <w:r w:rsidR="009A0608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результате реализации проекта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 балл присваивается проекту в случае увеличения объема услуг населению в городском округе</w:t>
            </w:r>
            <w:r w:rsidR="009A0608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Пелым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, при реализации проекта;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 баллов присваивается проекту в случае отсутствия увеличения объема услуг населению при реализации проекта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Обоснование спроса (потребности) на услуги, создаваемые в результате реализации инвестиционного проекта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929" w:type="dxa"/>
          </w:tcPr>
          <w:p w:rsidR="00C33CE1" w:rsidRPr="004353BC" w:rsidRDefault="00C33CE1" w:rsidP="00F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безопасности проживания населения в  городском округе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результате реализации проекта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C33CE1" w:rsidRPr="004353B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«критерий не применим»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 балл присваивается проекту в случае повышения уровня безоп</w:t>
            </w:r>
            <w:r w:rsidR="00D06C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асности проживания населения в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городском округе 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Пелым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в результате реализации проекта;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0 баллов присваивается проекту в случае сохранения уровня безопасности 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проживания населения в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городском округе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результате реализации проекта</w:t>
            </w:r>
          </w:p>
        </w:tc>
        <w:tc>
          <w:tcPr>
            <w:tcW w:w="4253" w:type="dxa"/>
          </w:tcPr>
          <w:p w:rsidR="00C33CE1" w:rsidRPr="004353BC" w:rsidRDefault="00C33CE1" w:rsidP="00F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Обоснование повышения уровня безопасности проживания населения в 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ородском округе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результате реализации проекта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929" w:type="dxa"/>
          </w:tcPr>
          <w:p w:rsidR="00C33CE1" w:rsidRPr="004353BC" w:rsidRDefault="00C33CE1" w:rsidP="00F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Улучшение экологической обстановки в городском округе 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Пелым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в результате реализации проекта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  <w:p w:rsidR="00C33CE1" w:rsidRPr="004353B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«критерий не применим»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 w:rsidP="00F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 балл присваивается проекту в случае улучшение экологической обстановки в городском округе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0 баллов присваивается проекту в случае сохранения уровня экологической обстановки в 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родском округе</w:t>
            </w:r>
            <w:r w:rsidR="00F6021C"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Пелым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Обоснование улучшения экологической обстановки, если реализация инвестиционного проекта способствует решению экологических проблем</w:t>
            </w:r>
          </w:p>
        </w:tc>
      </w:tr>
      <w:tr w:rsidR="004353BC" w:rsidRPr="004353BC" w:rsidTr="00214F65">
        <w:tc>
          <w:tcPr>
            <w:tcW w:w="672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4" w:name="P649"/>
            <w:bookmarkEnd w:id="24"/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2929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решения о подготовке бюджетных инвестиций, в том числе о предоставлении субсидий, для реализации проекта</w:t>
            </w:r>
          </w:p>
        </w:tc>
        <w:tc>
          <w:tcPr>
            <w:tcW w:w="1531" w:type="dxa"/>
          </w:tcPr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33CE1" w:rsidRPr="004353B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20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05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1 балл присваивается проекту в случае наличия решения о подготовке бюджетных инвестиций, в том числе о предоставлении субсидий, для реализации проекта;</w:t>
            </w:r>
          </w:p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0 баллов присваивается проекту в случае отсутствия решения о подготовке бюджетных инвестиций, в том числе о предоставлении субсидий, для реализации проекта</w:t>
            </w:r>
          </w:p>
        </w:tc>
        <w:tc>
          <w:tcPr>
            <w:tcW w:w="4253" w:type="dxa"/>
          </w:tcPr>
          <w:p w:rsidR="00C33CE1" w:rsidRPr="004353BC" w:rsidRDefault="00C33C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0"/>
              </w:rPr>
              <w:t>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проекта. Для муниципальных программ также указываются реквизиты нормативного правового акта, в соответствии с которым принята программа; для инвестиционных проектов, не включенных в указанные программы, указываются реквизиты документа, содержащего решение о подготовке бюджетных инвестиций</w:t>
            </w:r>
          </w:p>
        </w:tc>
      </w:tr>
    </w:tbl>
    <w:p w:rsidR="00C33CE1" w:rsidRDefault="00C33CE1">
      <w:pPr>
        <w:pStyle w:val="ConsPlusNormal"/>
      </w:pPr>
    </w:p>
    <w:p w:rsidR="00C33CE1" w:rsidRDefault="00C33CE1">
      <w:pPr>
        <w:pStyle w:val="ConsPlusNormal"/>
      </w:pPr>
    </w:p>
    <w:p w:rsidR="00C33CE1" w:rsidRDefault="00C33CE1">
      <w:pPr>
        <w:pStyle w:val="ConsPlusNormal"/>
      </w:pPr>
    </w:p>
    <w:p w:rsidR="00F6021C" w:rsidRDefault="00F6021C">
      <w:pPr>
        <w:pStyle w:val="ConsPlusNormal"/>
      </w:pPr>
    </w:p>
    <w:p w:rsidR="00F6021C" w:rsidRDefault="00F6021C">
      <w:pPr>
        <w:pStyle w:val="ConsPlusNormal"/>
      </w:pPr>
    </w:p>
    <w:p w:rsidR="00F6021C" w:rsidRDefault="00F6021C">
      <w:pPr>
        <w:pStyle w:val="ConsPlusNormal"/>
      </w:pPr>
    </w:p>
    <w:p w:rsidR="00F6021C" w:rsidRDefault="00F6021C">
      <w:pPr>
        <w:pStyle w:val="ConsPlusNormal"/>
      </w:pPr>
    </w:p>
    <w:p w:rsidR="00F6021C" w:rsidRDefault="00F6021C">
      <w:pPr>
        <w:pStyle w:val="ConsPlusNormal"/>
      </w:pPr>
    </w:p>
    <w:p w:rsidR="00F6021C" w:rsidRDefault="00F6021C">
      <w:pPr>
        <w:pStyle w:val="ConsPlusNormal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D06CB5" w:rsidTr="003142C7">
        <w:tc>
          <w:tcPr>
            <w:tcW w:w="10314" w:type="dxa"/>
          </w:tcPr>
          <w:p w:rsidR="00D06CB5" w:rsidRDefault="00D06CB5">
            <w:pPr>
              <w:pStyle w:val="ConsPlusNormal"/>
            </w:pPr>
          </w:p>
        </w:tc>
        <w:tc>
          <w:tcPr>
            <w:tcW w:w="4472" w:type="dxa"/>
          </w:tcPr>
          <w:p w:rsidR="00D06CB5" w:rsidRPr="004353BC" w:rsidRDefault="00D06CB5" w:rsidP="00D06CB5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D06CB5" w:rsidRPr="004353BC" w:rsidRDefault="00D06CB5" w:rsidP="00D06C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Методике оценки</w:t>
            </w:r>
          </w:p>
          <w:p w:rsidR="00D06CB5" w:rsidRPr="004353BC" w:rsidRDefault="00D06CB5" w:rsidP="00D06C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инвестиционных проектов на предмет</w:t>
            </w:r>
          </w:p>
          <w:p w:rsidR="00D06CB5" w:rsidRPr="004353BC" w:rsidRDefault="00D06CB5" w:rsidP="00D06C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использования средств</w:t>
            </w:r>
          </w:p>
          <w:p w:rsidR="00D06CB5" w:rsidRPr="004353BC" w:rsidRDefault="00D06CB5" w:rsidP="00D06C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Пелым,</w:t>
            </w:r>
          </w:p>
          <w:p w:rsidR="00D06CB5" w:rsidRDefault="00D06CB5" w:rsidP="00D06CB5">
            <w:pPr>
              <w:pStyle w:val="ConsPlusNormal"/>
            </w:pPr>
            <w:r w:rsidRPr="00435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направляемых на капитальные вложения</w:t>
            </w:r>
          </w:p>
        </w:tc>
      </w:tr>
    </w:tbl>
    <w:p w:rsidR="00F6021C" w:rsidRPr="00D06CB5" w:rsidRDefault="00F602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CE1" w:rsidRPr="004353BC" w:rsidRDefault="00C33CE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</w:rPr>
      </w:pPr>
      <w:bookmarkStart w:id="25" w:name="P669"/>
      <w:bookmarkEnd w:id="25"/>
      <w:r w:rsidRPr="004353BC">
        <w:rPr>
          <w:rFonts w:ascii="Times New Roman" w:hAnsi="Times New Roman" w:cs="Times New Roman"/>
        </w:rPr>
        <w:t>ОЦЕНКА</w:t>
      </w: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</w:rPr>
      </w:pPr>
      <w:r w:rsidRPr="004353BC">
        <w:rPr>
          <w:rFonts w:ascii="Times New Roman" w:hAnsi="Times New Roman" w:cs="Times New Roman"/>
        </w:rPr>
        <w:t>СООТВЕТСТВИЯ ИНВЕСТИЦИОННОГО ПРОЕКТА</w:t>
      </w:r>
    </w:p>
    <w:p w:rsidR="00C33CE1" w:rsidRPr="004353BC" w:rsidRDefault="00C33CE1">
      <w:pPr>
        <w:pStyle w:val="ConsPlusTitle"/>
        <w:jc w:val="center"/>
        <w:rPr>
          <w:rFonts w:ascii="Times New Roman" w:hAnsi="Times New Roman" w:cs="Times New Roman"/>
        </w:rPr>
      </w:pPr>
      <w:r w:rsidRPr="004353BC">
        <w:rPr>
          <w:rFonts w:ascii="Times New Roman" w:hAnsi="Times New Roman" w:cs="Times New Roman"/>
        </w:rPr>
        <w:t>КОЛИЧЕСТВЕННЫМ КРИТЕРИЯМ</w:t>
      </w:r>
    </w:p>
    <w:p w:rsidR="00C33CE1" w:rsidRDefault="00C33CE1">
      <w:pPr>
        <w:pStyle w:val="ConsPlusNormal"/>
      </w:pP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4"/>
        <w:gridCol w:w="994"/>
        <w:gridCol w:w="850"/>
        <w:gridCol w:w="1133"/>
        <w:gridCol w:w="1247"/>
        <w:gridCol w:w="4722"/>
        <w:gridCol w:w="3347"/>
      </w:tblGrid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Критерий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Допустимые баллы оценки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Балл оценки (б</w:t>
            </w:r>
            <w:r w:rsidRPr="00F6021C">
              <w:rPr>
                <w:rFonts w:ascii="Times New Roman" w:hAnsi="Times New Roman" w:cs="Times New Roman"/>
                <w:sz w:val="20"/>
                <w:vertAlign w:val="subscript"/>
              </w:rPr>
              <w:t>2i</w:t>
            </w:r>
            <w:r w:rsidRPr="00F6021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Весовой коэффициент критерия (</w:t>
            </w:r>
            <w:proofErr w:type="spellStart"/>
            <w:r w:rsidRPr="00F6021C">
              <w:rPr>
                <w:rFonts w:ascii="Times New Roman" w:hAnsi="Times New Roman" w:cs="Times New Roman"/>
                <w:sz w:val="20"/>
              </w:rPr>
              <w:t>Р</w:t>
            </w:r>
            <w:r w:rsidRPr="00F6021C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F6021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Средневзвешенный балл (б</w:t>
            </w:r>
            <w:r w:rsidRPr="00F6021C">
              <w:rPr>
                <w:rFonts w:ascii="Times New Roman" w:hAnsi="Times New Roman" w:cs="Times New Roman"/>
                <w:sz w:val="20"/>
                <w:vertAlign w:val="subscript"/>
              </w:rPr>
              <w:t>2i</w:t>
            </w:r>
            <w:r w:rsidRPr="00F602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6021C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F602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6021C">
              <w:rPr>
                <w:rFonts w:ascii="Times New Roman" w:hAnsi="Times New Roman" w:cs="Times New Roman"/>
                <w:sz w:val="20"/>
              </w:rPr>
              <w:t>Р</w:t>
            </w:r>
            <w:r w:rsidRPr="00F6021C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F6021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Требование к определению баллов оценки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Требования к документальным подтверждениям</w:t>
            </w:r>
          </w:p>
        </w:tc>
      </w:tr>
      <w:tr w:rsidR="00C33CE1" w:rsidRPr="00F6021C" w:rsidTr="00A96C2B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6" w:name="P681"/>
            <w:bookmarkEnd w:id="26"/>
            <w:r w:rsidRPr="00F6021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4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994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мощности;</w:t>
            </w:r>
          </w:p>
        </w:tc>
        <w:tc>
          <w:tcPr>
            <w:tcW w:w="3347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C33CE1" w:rsidRPr="00F6021C" w:rsidTr="00A96C2B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Балл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347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нужд, не превышает 100 процентов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Паспорт инвестиционного проекта (</w:t>
            </w:r>
            <w:hyperlink w:anchor="P130" w:history="1">
              <w:r w:rsidRPr="00F6021C">
                <w:rPr>
                  <w:rFonts w:ascii="Times New Roman" w:hAnsi="Times New Roman" w:cs="Times New Roman"/>
                  <w:color w:val="0000FF"/>
                  <w:sz w:val="20"/>
                </w:rPr>
                <w:t>пункты 5</w:t>
              </w:r>
            </w:hyperlink>
            <w:r w:rsidRPr="00F6021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131" w:history="1">
              <w:r w:rsidRPr="00F6021C">
                <w:rPr>
                  <w:rFonts w:ascii="Times New Roman" w:hAnsi="Times New Roman" w:cs="Times New Roman"/>
                  <w:color w:val="0000FF"/>
                  <w:sz w:val="20"/>
                </w:rPr>
                <w:t>6</w:t>
              </w:r>
            </w:hyperlink>
            <w:r w:rsidRPr="00F6021C">
              <w:rPr>
                <w:rFonts w:ascii="Times New Roman" w:hAnsi="Times New Roman" w:cs="Times New Roman"/>
                <w:sz w:val="20"/>
              </w:rPr>
              <w:t>). Приводятся документально подтвержденные данные о мощности, необходимой для производства продукции (услуг) в объеме, предусмотренном для муниципальных нужд</w:t>
            </w:r>
          </w:p>
        </w:tc>
      </w:tr>
      <w:tr w:rsidR="00C33CE1" w:rsidRPr="00F6021C" w:rsidTr="00A96C2B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54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Наличие инженерной и транспортной инфраструктуры, мощностью, необходимой для реализации инвестиционного проекта</w:t>
            </w:r>
          </w:p>
        </w:tc>
        <w:tc>
          <w:tcPr>
            <w:tcW w:w="994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Балл равен 1 в случаях: если на площадке, отводимой под предполагаемое строительство уже имеются все виды инженерной и транспортной инфраструктуры в необходимых объемах;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</w:t>
            </w:r>
            <w:proofErr w:type="gramStart"/>
            <w:r w:rsidRPr="00F6021C">
              <w:rPr>
                <w:rFonts w:ascii="Times New Roman" w:hAnsi="Times New Roman" w:cs="Times New Roman"/>
                <w:sz w:val="20"/>
              </w:rPr>
              <w:t>например</w:t>
            </w:r>
            <w:proofErr w:type="gramEnd"/>
            <w:r w:rsidRPr="00F6021C">
              <w:rPr>
                <w:rFonts w:ascii="Times New Roman" w:hAnsi="Times New Roman" w:cs="Times New Roman"/>
                <w:sz w:val="20"/>
              </w:rPr>
              <w:t xml:space="preserve"> берегоукрепительные работы);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Балл равен 0, если средневзвешенный уровень</w:t>
            </w:r>
          </w:p>
        </w:tc>
        <w:tc>
          <w:tcPr>
            <w:tcW w:w="3347" w:type="dxa"/>
            <w:tcBorders>
              <w:bottom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 достаточных для реализации инвестиционного проекта. Приводятся данные об обеспеченности планируемого объекта инженерной и транспортной инфраструктурой.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При необходимости даются ссылки на соответствующие целевые программы, иные документы, подтверждающие. Наличие соответствующих проектов развития инженерной и транспортной инфраструктур</w:t>
            </w:r>
          </w:p>
        </w:tc>
      </w:tr>
      <w:tr w:rsidR="00C33CE1" w:rsidRPr="00F6021C" w:rsidTr="00A96C2B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 xml:space="preserve">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</w:t>
            </w: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инженерной и транспортной инфраструктурой в необходимых объемах</w:t>
            </w:r>
          </w:p>
        </w:tc>
        <w:tc>
          <w:tcPr>
            <w:tcW w:w="3347" w:type="dxa"/>
            <w:tcBorders>
              <w:top w:val="nil"/>
            </w:tcBorders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 xml:space="preserve"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</w:t>
            </w:r>
            <w:hyperlink r:id="rId14" w:history="1">
              <w:r w:rsidRPr="00F6021C">
                <w:rPr>
                  <w:rFonts w:ascii="Times New Roman" w:hAnsi="Times New Roman" w:cs="Times New Roman"/>
                  <w:color w:val="0000FF"/>
                  <w:sz w:val="20"/>
                </w:rPr>
                <w:t>классификатором</w:t>
              </w:r>
            </w:hyperlink>
            <w:r w:rsidRPr="00F6021C">
              <w:rPr>
                <w:rFonts w:ascii="Times New Roman" w:hAnsi="Times New Roman" w:cs="Times New Roman"/>
                <w:sz w:val="20"/>
              </w:rPr>
              <w:t xml:space="preserve"> единиц измерения;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Срок окупаемости проекта после его реализации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 балл присваивается проекту в случае, если планируемый срок окупаемости проекта - до 5 лет;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 балла присваивается проекту в случае, если планируемый срок окупаемости проекта - более 5 лет;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проектам, предусматривающим строительство (реконструкцию) объектов социально-культурной сферы, присваивается 1 балл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 xml:space="preserve">Доля планируемого </w:t>
            </w:r>
            <w:proofErr w:type="spellStart"/>
            <w:r w:rsidRPr="00F6021C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F6021C">
              <w:rPr>
                <w:rFonts w:ascii="Times New Roman" w:hAnsi="Times New Roman" w:cs="Times New Roman"/>
                <w:sz w:val="20"/>
              </w:rPr>
              <w:t xml:space="preserve"> проекта за счет средств федерального и областного бюджетов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 балл присваивается проекту в случае, если планируемое финансирование проекта за счет средств федерального и областного бюджетов составит более 30 процентов от общей суммы затрат;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 балла присваивается проекту в случае, если планируемое финансирование проекта за счет средств федерального и областного бюджетов составит от 15 процентов до 30 процентов от общей суммы затрат;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0,3 балла присваивается проекту в случае, если планируемое финансирование проекта за счет средств федерального и областного бюджетов составит до 15 процентов от общей суммы затрат;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 xml:space="preserve">проектам, в рамках реализации которых формируется имущество муниципальной собственности Полевского городского округа, </w:t>
            </w: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присваивается 1 балл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1) указывается наименование муниципальной программы, в которую включается инвестиционный проект;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2) реквизиты нормативно-правовых актов, утверждаемых государственные программы Свердловской области</w:t>
            </w:r>
          </w:p>
        </w:tc>
      </w:tr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 xml:space="preserve">Доля планируемого </w:t>
            </w:r>
            <w:proofErr w:type="spellStart"/>
            <w:r w:rsidRPr="00F6021C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F6021C">
              <w:rPr>
                <w:rFonts w:ascii="Times New Roman" w:hAnsi="Times New Roman" w:cs="Times New Roman"/>
                <w:sz w:val="20"/>
              </w:rPr>
              <w:t xml:space="preserve"> проекта за счет средств внебюджетных источников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0,7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 балл присваивается проекту в случае, если планируемое финансирование проекта за счет внебюджетных источников составит более 20 процентов от общей суммы затрат;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0,7 балла присваивается проекту в случае, если планируемое финансирование проекта за счет внебюджетных источников составит от 10 процентов до 20 процентов от общей суммы затрат;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 балла присваивается проекту в случае, если планируемое финансирование проекта за счет внебюджетных источников составит до 10 процентов от общей суммы затрат;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 баллов присваивается проекту в случае, если привлечение внебюджетных источников для финансирования проекта не планируется;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проектам, в рамках реализации которых формируется муниципальное имущество Полевского городского округа, присваивается 1 балл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Указывается наименование муниципальной программы, в которую включается инвестиционный проект</w:t>
            </w:r>
          </w:p>
        </w:tc>
      </w:tr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Наличие средств для обеспечения функционирования (эксплуатации) объекта капитального строительства (реконструкции), объекта недвижимого имущества после реализации инвестиционного проекта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0,3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</w:t>
            </w:r>
          </w:p>
          <w:p w:rsidR="00C33CE1" w:rsidRPr="00F6021C" w:rsidRDefault="00D06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«критерий не применим»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 балл присваивается проекту в случае наличия в полном объеме средств для обеспечения функционирования (эксплуатации) объекта капитального строительства (недвижимого имущества);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0,3 балла присваивается проекту в случае наличия средств для обеспечения функционирования (эксплуатации) объекта капитального строительства (недвижимого имущества) от 80 процентов до 100, процентов от общей потребности;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 баллов присваивается проекту в случае наличия средств для обеспечения функционирования (эксплуатации) объекта капитального строительства (недвижимого имущества) до 80 процентов от общей потребности;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проектам, в рамках реализации которых формируется имущество муниципальной собственности Полевского городского округа, присваивается 1 балл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Указывается наименование муниципальной программы, в которую включены средства для обеспечения функционирования (эксплуатации) объекта капитального строительства (реконструкции), объекта недвижимого имущества после реализации инвестиционного проекта</w:t>
            </w:r>
          </w:p>
        </w:tc>
      </w:tr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 xml:space="preserve">Количество создаваемых (модернизируемых) постоянных рабочих мест в </w:t>
            </w: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результате реализации проекта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 xml:space="preserve">1 балл присваивается проекту в случае, если в результате реализации проекта создается (модернизируется) более 40 постоянных рабочих </w:t>
            </w: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мест;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 балла присваивается проекту в случае, если в результате реализации проекта создается (модернизируется) до 40 постоянных рабочих мест;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 баллов присваивается проекту в случае, если в результате реализации проекта постоянные рабочие места не создаются (не модернизируются)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 количестве создаваемых (модернизируемых) рабочих мест в результате реализации </w:t>
            </w:r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инвестиционного проекта</w:t>
            </w:r>
          </w:p>
        </w:tc>
      </w:tr>
      <w:tr w:rsidR="00C33CE1" w:rsidRPr="00F6021C" w:rsidTr="00A96C2B">
        <w:trPr>
          <w:jc w:val="center"/>
        </w:trPr>
        <w:tc>
          <w:tcPr>
            <w:tcW w:w="62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P806"/>
            <w:bookmarkEnd w:id="27"/>
            <w:r w:rsidRPr="00F6021C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554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Количество создаваемых временных рабочих мест при реализации проекта</w:t>
            </w:r>
          </w:p>
        </w:tc>
        <w:tc>
          <w:tcPr>
            <w:tcW w:w="994" w:type="dxa"/>
          </w:tcPr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</w:t>
            </w:r>
          </w:p>
          <w:p w:rsidR="00C33CE1" w:rsidRPr="00F6021C" w:rsidRDefault="00C3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0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2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1 балл присваивается проекту в случае, если в результате реализации проекта создается более 20 временных рабочих мест;</w:t>
            </w:r>
          </w:p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0,5 балла присваивается проекту в случае, если в результате реализации проекта создается до 20 временных рабочих мест</w:t>
            </w:r>
          </w:p>
        </w:tc>
        <w:tc>
          <w:tcPr>
            <w:tcW w:w="3347" w:type="dxa"/>
          </w:tcPr>
          <w:p w:rsidR="00C33CE1" w:rsidRPr="00F6021C" w:rsidRDefault="00C33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021C">
              <w:rPr>
                <w:rFonts w:ascii="Times New Roman" w:hAnsi="Times New Roman" w:cs="Times New Roman"/>
                <w:sz w:val="20"/>
              </w:rPr>
              <w:t>Сведения о количестве создаваемых временных рабочих мест при реализации инвестиционного проекта</w:t>
            </w:r>
          </w:p>
        </w:tc>
      </w:tr>
    </w:tbl>
    <w:p w:rsidR="00C33CE1" w:rsidRDefault="00C33CE1">
      <w:pPr>
        <w:sectPr w:rsidR="00C33CE1" w:rsidSect="00F233D4">
          <w:pgSz w:w="16838" w:h="11905" w:orient="landscape"/>
          <w:pgMar w:top="709" w:right="1134" w:bottom="850" w:left="1134" w:header="0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5"/>
        <w:gridCol w:w="2919"/>
      </w:tblGrid>
      <w:tr w:rsidR="002E37AB" w:rsidTr="002E37AB">
        <w:tc>
          <w:tcPr>
            <w:tcW w:w="11732" w:type="dxa"/>
          </w:tcPr>
          <w:p w:rsidR="002E37AB" w:rsidRDefault="002E37AB" w:rsidP="000F4EE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8" w:name="_GoBack"/>
            <w:bookmarkEnd w:id="28"/>
          </w:p>
        </w:tc>
        <w:tc>
          <w:tcPr>
            <w:tcW w:w="3621" w:type="dxa"/>
          </w:tcPr>
          <w:p w:rsidR="002E37AB" w:rsidRPr="002E37AB" w:rsidRDefault="002E37AB" w:rsidP="002E37AB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Утвержден:</w:t>
            </w:r>
          </w:p>
          <w:p w:rsidR="002E37AB" w:rsidRPr="002E37AB" w:rsidRDefault="002E37AB" w:rsidP="002E37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2E37AB" w:rsidRPr="002E37AB" w:rsidRDefault="002E37AB" w:rsidP="002E37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Пелым</w:t>
            </w:r>
          </w:p>
          <w:p w:rsidR="002E37AB" w:rsidRDefault="002E37AB" w:rsidP="002E37AB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7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2E37A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07.12.2020</w:t>
            </w:r>
            <w:r w:rsidRPr="002E37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Pr="002E37A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373</w:t>
            </w:r>
          </w:p>
        </w:tc>
      </w:tr>
    </w:tbl>
    <w:p w:rsidR="00D06CB5" w:rsidRDefault="00D06CB5" w:rsidP="000F4EEF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D25DF6" w:rsidRDefault="00C33CE1" w:rsidP="00A96C2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CE1" w:rsidRPr="00D25DF6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29" w:name="P826"/>
      <w:bookmarkEnd w:id="29"/>
      <w:r w:rsidRPr="00D25DF6">
        <w:rPr>
          <w:rFonts w:ascii="Times New Roman" w:hAnsi="Times New Roman" w:cs="Times New Roman"/>
          <w:color w:val="000000" w:themeColor="text1"/>
        </w:rPr>
        <w:t>ПОРЯДОК</w:t>
      </w:r>
    </w:p>
    <w:p w:rsidR="00C33CE1" w:rsidRPr="00D25DF6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ВЕДЕНИЯ РЕЕСТРА ИНВЕСТИЦИОННЫХ ПРОЕКТОВ, ПОЛУЧИВШИХ</w:t>
      </w:r>
    </w:p>
    <w:p w:rsidR="00C33CE1" w:rsidRPr="00D25DF6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ПОЛОЖИТЕЛЬНОЕ ЗАКЛЮЧЕНИЕ ОБ ЭФФЕКТИВНОСТИ ИСПОЛЬЗОВАНИЯ</w:t>
      </w:r>
    </w:p>
    <w:p w:rsidR="00C33CE1" w:rsidRPr="00D25DF6" w:rsidRDefault="00D06CB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СРЕДСТВ БЮДЖЕТА </w:t>
      </w:r>
      <w:r w:rsidR="00C33CE1" w:rsidRPr="00D25DF6">
        <w:rPr>
          <w:rFonts w:ascii="Times New Roman" w:hAnsi="Times New Roman" w:cs="Times New Roman"/>
          <w:color w:val="000000" w:themeColor="text1"/>
        </w:rPr>
        <w:t>ГОРОДСКОГО ОКРУГА</w:t>
      </w:r>
      <w:r w:rsidR="00A96C2B" w:rsidRPr="00D25DF6">
        <w:rPr>
          <w:rFonts w:ascii="Times New Roman" w:hAnsi="Times New Roman" w:cs="Times New Roman"/>
          <w:color w:val="000000" w:themeColor="text1"/>
        </w:rPr>
        <w:t xml:space="preserve"> ПЕЛЫМ</w:t>
      </w:r>
      <w:r w:rsidR="00C33CE1" w:rsidRPr="00D25DF6">
        <w:rPr>
          <w:rFonts w:ascii="Times New Roman" w:hAnsi="Times New Roman" w:cs="Times New Roman"/>
          <w:color w:val="000000" w:themeColor="text1"/>
        </w:rPr>
        <w:t>,</w:t>
      </w:r>
    </w:p>
    <w:p w:rsidR="00C33CE1" w:rsidRPr="00D25DF6" w:rsidRDefault="00C33C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НАПРАВЛЯЕМЫХ НА КАПИТАЛЬНЫЕ ВЛОЖЕНИЯ</w:t>
      </w:r>
    </w:p>
    <w:p w:rsidR="00C33CE1" w:rsidRPr="00D25DF6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C33CE1" w:rsidRPr="00D25DF6" w:rsidRDefault="00C33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</w:t>
      </w:r>
      <w:r w:rsidR="00D06CB5">
        <w:rPr>
          <w:rFonts w:ascii="Times New Roman" w:hAnsi="Times New Roman" w:cs="Times New Roman"/>
          <w:color w:val="000000" w:themeColor="text1"/>
        </w:rPr>
        <w:t xml:space="preserve"> использования средств бюджета </w:t>
      </w:r>
      <w:r w:rsidRPr="00D25DF6">
        <w:rPr>
          <w:rFonts w:ascii="Times New Roman" w:hAnsi="Times New Roman" w:cs="Times New Roman"/>
          <w:color w:val="000000" w:themeColor="text1"/>
        </w:rPr>
        <w:t>городского округа</w:t>
      </w:r>
      <w:r w:rsidR="00A96C2B" w:rsidRPr="00D25DF6">
        <w:rPr>
          <w:rFonts w:ascii="Times New Roman" w:hAnsi="Times New Roman" w:cs="Times New Roman"/>
          <w:color w:val="000000" w:themeColor="text1"/>
        </w:rPr>
        <w:t xml:space="preserve"> Пелым</w:t>
      </w:r>
      <w:r w:rsidRPr="00D25DF6">
        <w:rPr>
          <w:rFonts w:ascii="Times New Roman" w:hAnsi="Times New Roman" w:cs="Times New Roman"/>
          <w:color w:val="000000" w:themeColor="text1"/>
        </w:rPr>
        <w:t>, направляемых на капитальные вложения (далее - реестр), в том числе требования к ведению и содержанию реестра.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и Свердловской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3. Реестр ведется</w:t>
      </w:r>
      <w:r w:rsidR="00A96C2B" w:rsidRPr="00D25DF6">
        <w:rPr>
          <w:rFonts w:ascii="Times New Roman" w:hAnsi="Times New Roman" w:cs="Times New Roman"/>
          <w:color w:val="000000" w:themeColor="text1"/>
        </w:rPr>
        <w:t xml:space="preserve"> </w:t>
      </w:r>
      <w:r w:rsidRPr="00D25DF6">
        <w:rPr>
          <w:rFonts w:ascii="Times New Roman" w:hAnsi="Times New Roman" w:cs="Times New Roman"/>
          <w:color w:val="000000" w:themeColor="text1"/>
        </w:rPr>
        <w:t>экономик</w:t>
      </w:r>
      <w:r w:rsidR="00A96C2B" w:rsidRPr="00D25DF6">
        <w:rPr>
          <w:rFonts w:ascii="Times New Roman" w:hAnsi="Times New Roman" w:cs="Times New Roman"/>
          <w:color w:val="000000" w:themeColor="text1"/>
        </w:rPr>
        <w:t>о-правовым отделом а</w:t>
      </w:r>
      <w:r w:rsidRPr="00D25DF6">
        <w:rPr>
          <w:rFonts w:ascii="Times New Roman" w:hAnsi="Times New Roman" w:cs="Times New Roman"/>
          <w:color w:val="000000" w:themeColor="text1"/>
        </w:rPr>
        <w:t>дминистрации городского округа</w:t>
      </w:r>
      <w:r w:rsidR="00A96C2B" w:rsidRPr="00D25DF6">
        <w:rPr>
          <w:rFonts w:ascii="Times New Roman" w:hAnsi="Times New Roman" w:cs="Times New Roman"/>
          <w:color w:val="000000" w:themeColor="text1"/>
        </w:rPr>
        <w:t xml:space="preserve"> Пелым</w:t>
      </w:r>
      <w:r w:rsidRPr="00D25DF6">
        <w:rPr>
          <w:rFonts w:ascii="Times New Roman" w:hAnsi="Times New Roman" w:cs="Times New Roman"/>
          <w:color w:val="000000" w:themeColor="text1"/>
        </w:rPr>
        <w:t xml:space="preserve"> на электронном носителе путем внесения в него соответствующих записей.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0" w:name="P835"/>
      <w:bookmarkEnd w:id="30"/>
      <w:r w:rsidRPr="00D25DF6">
        <w:rPr>
          <w:rFonts w:ascii="Times New Roman" w:hAnsi="Times New Roman" w:cs="Times New Roman"/>
          <w:color w:val="000000" w:themeColor="text1"/>
        </w:rPr>
        <w:t>4. Сведения об инвестиционном проекте вносятся в реестр в течение 5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5. Реестровая запись содержит следующие сведения: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порядковый номер записи;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 xml:space="preserve">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</w:t>
      </w:r>
      <w:r w:rsidRPr="00D25DF6">
        <w:rPr>
          <w:rFonts w:ascii="Times New Roman" w:hAnsi="Times New Roman" w:cs="Times New Roman"/>
          <w:color w:val="000000" w:themeColor="text1"/>
        </w:rPr>
        <w:lastRenderedPageBreak/>
        <w:t>заключения, фамилия, имя, отчество и должность лица, подписавшего заключение);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>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C33CE1" w:rsidRPr="00D25DF6" w:rsidRDefault="00C33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25DF6">
        <w:rPr>
          <w:rFonts w:ascii="Times New Roman" w:hAnsi="Times New Roman" w:cs="Times New Roman"/>
          <w:color w:val="000000" w:themeColor="text1"/>
        </w:rPr>
        <w:t xml:space="preserve">6. Изменения в реестр вносятся в срок, указанный в </w:t>
      </w:r>
      <w:hyperlink w:anchor="P835" w:history="1">
        <w:r w:rsidRPr="00D25DF6">
          <w:rPr>
            <w:rFonts w:ascii="Times New Roman" w:hAnsi="Times New Roman" w:cs="Times New Roman"/>
            <w:color w:val="000000" w:themeColor="text1"/>
          </w:rPr>
          <w:t>пункте 4</w:t>
        </w:r>
      </w:hyperlink>
      <w:r w:rsidRPr="00D25DF6">
        <w:rPr>
          <w:rFonts w:ascii="Times New Roman" w:hAnsi="Times New Roman" w:cs="Times New Roman"/>
          <w:color w:val="000000" w:themeColor="text1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C33CE1" w:rsidRPr="00D25DF6" w:rsidRDefault="00C33C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54EDE" w:rsidRPr="00D25DF6" w:rsidRDefault="00454EDE">
      <w:pPr>
        <w:rPr>
          <w:rFonts w:ascii="Times New Roman" w:hAnsi="Times New Roman" w:cs="Times New Roman"/>
          <w:color w:val="000000" w:themeColor="text1"/>
        </w:rPr>
      </w:pPr>
    </w:p>
    <w:sectPr w:rsidR="00454EDE" w:rsidRPr="00D25DF6" w:rsidSect="00D81F5D">
      <w:pgSz w:w="11905" w:h="16838"/>
      <w:pgMar w:top="567" w:right="851" w:bottom="1134" w:left="12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2563"/>
    <w:multiLevelType w:val="multilevel"/>
    <w:tmpl w:val="17800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E1"/>
    <w:rsid w:val="00075E1E"/>
    <w:rsid w:val="000925CB"/>
    <w:rsid w:val="000F4EEF"/>
    <w:rsid w:val="0011728A"/>
    <w:rsid w:val="001261A4"/>
    <w:rsid w:val="00200C72"/>
    <w:rsid w:val="00214F65"/>
    <w:rsid w:val="0023722B"/>
    <w:rsid w:val="002739B7"/>
    <w:rsid w:val="00276B24"/>
    <w:rsid w:val="002E368C"/>
    <w:rsid w:val="002E37AB"/>
    <w:rsid w:val="00307DA7"/>
    <w:rsid w:val="003142C7"/>
    <w:rsid w:val="00341007"/>
    <w:rsid w:val="004353BC"/>
    <w:rsid w:val="00445C07"/>
    <w:rsid w:val="004534AD"/>
    <w:rsid w:val="00454EDE"/>
    <w:rsid w:val="004A7B5B"/>
    <w:rsid w:val="004C004A"/>
    <w:rsid w:val="004C2CB4"/>
    <w:rsid w:val="00520970"/>
    <w:rsid w:val="005402B7"/>
    <w:rsid w:val="006A53E4"/>
    <w:rsid w:val="007160C4"/>
    <w:rsid w:val="007267AA"/>
    <w:rsid w:val="00774FDB"/>
    <w:rsid w:val="007E5C94"/>
    <w:rsid w:val="007F65D4"/>
    <w:rsid w:val="009A0608"/>
    <w:rsid w:val="00A96C2B"/>
    <w:rsid w:val="00AA4238"/>
    <w:rsid w:val="00BA2143"/>
    <w:rsid w:val="00C33CE1"/>
    <w:rsid w:val="00D06CB5"/>
    <w:rsid w:val="00D25DF6"/>
    <w:rsid w:val="00D81F5D"/>
    <w:rsid w:val="00DB0429"/>
    <w:rsid w:val="00E413B0"/>
    <w:rsid w:val="00E92CC7"/>
    <w:rsid w:val="00F233D4"/>
    <w:rsid w:val="00F6021C"/>
    <w:rsid w:val="00FE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3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3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3C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6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5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DEB0DB9FF7B9A2AF5970932847B361FE0879F6D1A3AC367315D9AA5B82C99F2BE679A50722782BCAC0DEEDB8765DF2E0F8DD7CEFAA430K7C4J" TargetMode="External"/><Relationship Id="rId13" Type="http://schemas.openxmlformats.org/officeDocument/2006/relationships/hyperlink" Target="consultantplus://offline/ref=6E1DEB0DB9FF7B9A2AF5970932847B361FE0879C651C3AC367315D9AA5B82C99F2BE6798517B2F80EEF61DEA92D36FC0281092D4D0FAKAC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1DEB0DB9FF7B9A2AF5970932847B361FE680976E193AC367315D9AA5B82C99F2BE679A50722783BAAC0DEEDB8765DF2E0F8DD7CEFAA430K7C4J" TargetMode="External"/><Relationship Id="rId12" Type="http://schemas.openxmlformats.org/officeDocument/2006/relationships/hyperlink" Target="consultantplus://offline/ref=6E1DEB0DB9FF7B9A2AF5970932847B361FE0879C651C3AC367315D9AA5B82C99F2BE6798517B2F80EEF61DEA92D36FC0281092D4D0FAKAC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6E1DEB0DB9FF7B9A2AF5970932847B361FE3819B69183AC367315D9AA5B82C99E0BE3F965175388ABBB95BBF9DKD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B99B-7802-402B-8AD4-119BDF67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9978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Аня Ветошкина</cp:lastModifiedBy>
  <cp:revision>36</cp:revision>
  <cp:lastPrinted>2020-11-25T05:48:00Z</cp:lastPrinted>
  <dcterms:created xsi:type="dcterms:W3CDTF">2020-11-17T09:02:00Z</dcterms:created>
  <dcterms:modified xsi:type="dcterms:W3CDTF">2020-12-08T04:51:00Z</dcterms:modified>
</cp:coreProperties>
</file>