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7E7B18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AF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6DE" w:rsidRPr="007E7B18" w:rsidRDefault="00A876DE" w:rsidP="00A876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CAF" w:rsidRPr="007E7B18" w:rsidRDefault="00A16CAF" w:rsidP="00A16C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7E20B7" w:rsidTr="002F4C25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6D65C0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7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  <w:p w:rsidR="00A16CAF" w:rsidRPr="00A876DE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7E20B7" w:rsidRDefault="00A16CAF" w:rsidP="002F4C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180308" w:rsidRDefault="00A16CAF" w:rsidP="00A16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480AC4" w:rsidRDefault="00215488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C4">
        <w:rPr>
          <w:rFonts w:ascii="Times New Roman" w:hAnsi="Times New Roman" w:cs="Times New Roman"/>
          <w:b/>
          <w:sz w:val="28"/>
          <w:szCs w:val="28"/>
        </w:rPr>
        <w:t>О</w:t>
      </w:r>
      <w:r w:rsidR="00CF4E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Методику </w:t>
      </w:r>
      <w:proofErr w:type="gramStart"/>
      <w:r w:rsidR="00CF4E1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80AC4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80AC4" w:rsidRPr="00480AC4">
        <w:rPr>
          <w:rFonts w:ascii="Times New Roman" w:hAnsi="Times New Roman" w:cs="Times New Roman"/>
          <w:b/>
          <w:sz w:val="28"/>
          <w:szCs w:val="28"/>
        </w:rPr>
        <w:t>регулирующего в</w:t>
      </w:r>
      <w:r w:rsidRPr="00480AC4">
        <w:rPr>
          <w:rFonts w:ascii="Times New Roman" w:hAnsi="Times New Roman" w:cs="Times New Roman"/>
          <w:b/>
          <w:sz w:val="28"/>
          <w:szCs w:val="28"/>
        </w:rPr>
        <w:t xml:space="preserve">оздействия </w:t>
      </w:r>
      <w:r w:rsidR="00480AC4" w:rsidRPr="00480AC4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городского округа</w:t>
      </w:r>
      <w:proofErr w:type="gramEnd"/>
      <w:r w:rsidR="00480AC4" w:rsidRPr="00480AC4">
        <w:rPr>
          <w:rFonts w:ascii="Times New Roman" w:hAnsi="Times New Roman" w:cs="Times New Roman"/>
          <w:b/>
          <w:sz w:val="28"/>
          <w:szCs w:val="28"/>
        </w:rPr>
        <w:t xml:space="preserve"> Пелым и </w:t>
      </w:r>
      <w:r w:rsidR="00CF4E11">
        <w:rPr>
          <w:rFonts w:ascii="Times New Roman" w:hAnsi="Times New Roman" w:cs="Times New Roman"/>
          <w:b/>
          <w:sz w:val="28"/>
          <w:szCs w:val="28"/>
        </w:rPr>
        <w:t>в Методику</w:t>
      </w:r>
      <w:r w:rsidR="00480AC4" w:rsidRPr="00480AC4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нормативных правовы</w:t>
      </w:r>
      <w:r w:rsidR="00CF4E11">
        <w:rPr>
          <w:rFonts w:ascii="Times New Roman" w:hAnsi="Times New Roman" w:cs="Times New Roman"/>
          <w:b/>
          <w:sz w:val="28"/>
          <w:szCs w:val="28"/>
        </w:rPr>
        <w:t>х актов городского округа Пелым, утвержденных постановлением администрации городского округа Пелым от 10.03.2017 №65</w:t>
      </w:r>
    </w:p>
    <w:p w:rsidR="00A16CAF" w:rsidRPr="007531C5" w:rsidRDefault="00A16CAF" w:rsidP="00A16C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AC4" w:rsidRDefault="00480AC4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AC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0A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480AC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480A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480AC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10</w:t>
        </w:r>
      </w:hyperlink>
      <w:r w:rsidRPr="00480A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Областного закона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</w:t>
      </w:r>
      <w:r w:rsidRPr="00480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актов»</w:t>
      </w:r>
      <w:r w:rsidRPr="00480AC4">
        <w:rPr>
          <w:rFonts w:ascii="Times New Roman" w:hAnsi="Times New Roman" w:cs="Times New Roman"/>
          <w:bCs/>
          <w:sz w:val="28"/>
          <w:szCs w:val="28"/>
        </w:rPr>
        <w:t>, в целях развития механизмов проведения экспертизы нормативных правовых</w:t>
      </w:r>
      <w:proofErr w:type="gramEnd"/>
      <w:r w:rsidRPr="00480AC4">
        <w:rPr>
          <w:rFonts w:ascii="Times New Roman" w:hAnsi="Times New Roman" w:cs="Times New Roman"/>
          <w:bCs/>
          <w:sz w:val="28"/>
          <w:szCs w:val="28"/>
        </w:rPr>
        <w:t xml:space="preserve"> актов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Пелым,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31 Устава городского округа Пелым а</w:t>
      </w:r>
      <w:r w:rsidRPr="00480AC4">
        <w:rPr>
          <w:rFonts w:ascii="Times New Roman" w:hAnsi="Times New Roman" w:cs="Times New Roman"/>
          <w:bCs/>
          <w:sz w:val="28"/>
          <w:szCs w:val="28"/>
        </w:rPr>
        <w:t>дминистрация городского округа</w:t>
      </w:r>
      <w:proofErr w:type="gramEnd"/>
      <w:r w:rsidRPr="00480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</w:p>
    <w:p w:rsidR="00A16CAF" w:rsidRPr="007E1356" w:rsidRDefault="00A16CAF" w:rsidP="00A16C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2A36" w:rsidRDefault="00A16CAF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E1356">
        <w:rPr>
          <w:rFonts w:ascii="Times New Roman" w:hAnsi="Times New Roman" w:cs="Times New Roman"/>
          <w:sz w:val="28"/>
          <w:szCs w:val="28"/>
        </w:rPr>
        <w:t xml:space="preserve">1. </w:t>
      </w:r>
      <w:r w:rsidR="00652A36">
        <w:rPr>
          <w:rFonts w:ascii="Times New Roman" w:hAnsi="Times New Roman" w:cs="Times New Roman"/>
          <w:sz w:val="28"/>
          <w:szCs w:val="28"/>
        </w:rPr>
        <w:t>Внести в</w:t>
      </w:r>
      <w:r w:rsidR="0048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80AC4" w:rsidRPr="00480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="00480AC4" w:rsidRPr="0048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AC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город</w:t>
      </w:r>
      <w:r w:rsidR="00652A3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039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0393D">
        <w:rPr>
          <w:rFonts w:ascii="Times New Roman" w:hAnsi="Times New Roman" w:cs="Times New Roman"/>
          <w:sz w:val="28"/>
          <w:szCs w:val="28"/>
        </w:rPr>
        <w:t xml:space="preserve"> Пелым, утвержденную постановлением администрации городского округа Пелым от 10.03.2017 №65 </w:t>
      </w:r>
      <w:r w:rsidR="00652A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A36" w:rsidRDefault="00652A36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10 главы 2 после слов «пояснительной записки к нему» дополнить словами «согласно приложению №4 к настоящей Методике»</w:t>
      </w:r>
      <w:r w:rsidR="00EF3122">
        <w:rPr>
          <w:rFonts w:ascii="Times New Roman" w:hAnsi="Times New Roman" w:cs="Times New Roman"/>
          <w:sz w:val="28"/>
          <w:szCs w:val="28"/>
        </w:rPr>
        <w:t>.</w:t>
      </w:r>
    </w:p>
    <w:p w:rsidR="00F0393D" w:rsidRDefault="00F0393D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0393D">
        <w:rPr>
          <w:rFonts w:ascii="Times New Roman" w:hAnsi="Times New Roman" w:cs="Times New Roman"/>
          <w:sz w:val="28"/>
          <w:szCs w:val="28"/>
        </w:rPr>
        <w:t>2. Внести в Методику проведения экспертизы нормативных правовых актов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Пелым от 10.03.2017 №65 следующие изменения:</w:t>
      </w:r>
    </w:p>
    <w:p w:rsidR="00652A36" w:rsidRDefault="00F0393D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главы 4 изложить в следующей редакции: </w:t>
      </w:r>
    </w:p>
    <w:p w:rsidR="00F0393D" w:rsidRDefault="00F0393D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4. Проведение публичных консультаций по проекту заключения о результатах экспертизы муниципального нормативного правового акта</w:t>
      </w:r>
      <w:r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F0393D" w:rsidRPr="00F0393D" w:rsidRDefault="00F0393D" w:rsidP="00B578B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главу 4 изложить в следующей редакции: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«23. </w:t>
      </w:r>
      <w:proofErr w:type="gramStart"/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В целях проведения публичных консультаций по проекту заключения о результатах экспертизы муниципального нормативного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lastRenderedPageBreak/>
        <w:t>правового акта (далее - публичные консультации) Уполномоченным органом на официальном сайте муниципальног</w:t>
      </w:r>
      <w:r>
        <w:rPr>
          <w:rFonts w:ascii="Times New Roman" w:eastAsiaTheme="minorEastAsia" w:hAnsi="Times New Roman" w:cs="Times New Roman"/>
          <w:sz w:val="28"/>
          <w:szCs w:val="28"/>
        </w:rPr>
        <w:t>о образования городского округа Пелым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,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(далее - официальный сайт), размещается уведомление о проведении публичных консультаций, текст нормативного правового акта в редакции</w:t>
      </w:r>
      <w:proofErr w:type="gramEnd"/>
      <w:r w:rsidRPr="00F0393D">
        <w:rPr>
          <w:rFonts w:ascii="Times New Roman" w:eastAsiaTheme="minorEastAsia" w:hAnsi="Times New Roman" w:cs="Times New Roman"/>
          <w:sz w:val="28"/>
          <w:szCs w:val="28"/>
        </w:rPr>
        <w:t>, действующей на момент размещения, и проект заключения о результатах экспертизы муниципального нормативного правового акта. Форма уведомления о проведении публичных консультаций по проекту заключения о результатах экспертизы муниципального нормативного правового акта указана в Приложении 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 к настоящей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Методи</w:t>
      </w:r>
      <w:r>
        <w:rPr>
          <w:rFonts w:ascii="Times New Roman" w:eastAsiaTheme="minorEastAsia" w:hAnsi="Times New Roman" w:cs="Times New Roman"/>
          <w:sz w:val="28"/>
          <w:szCs w:val="28"/>
        </w:rPr>
        <w:t>ке.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. Публичные консультации проводятся с целью: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1) получения дополнительной информации о фактических результатах регулирования, группах лиц, затронутых регулированием, издержках и выгодах затронутых лиц;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2) определения мнения заинтересованных лиц о необходимости отмены (изменения) муниципального нормативного правового акта.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. Срок проведения публичных консультаций не может составлять менее 10 и более 45 дней. Датой начала публичных консультаций считается дата размещения Уполномоченным органом проекта заключения о результатах экспертизы муниципального нормативного правового акта на официальном сайте.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. Кроме проведения публичных консультаций могут использоваться иные формы публичных обсуждений муниципального нормативного правового акта, в том числе круглые столы, совещания. Предложения, полученные в ходе таких публичных обсуждений,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.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Форма 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указана в Приложении 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 к настоящей Методике.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25. По результатам публичных консультаций Уполномоченный орган дорабатывает проект заключения о результатах экспертизы муниципального нормативного правового акта: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- составляет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акта;</w:t>
      </w:r>
    </w:p>
    <w:p w:rsidR="00F0393D" w:rsidRPr="00F0393D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- заполняет разделы 10 «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 xml:space="preserve">Сведения о проведении публичного обсуждения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lastRenderedPageBreak/>
        <w:t>нормативного правового акта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 xml:space="preserve"> и заключения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>, 11 «</w:t>
      </w:r>
      <w:r w:rsidR="00613C1B" w:rsidRPr="00480AC4">
        <w:rPr>
          <w:rFonts w:ascii="Times New Roman" w:hAnsi="Times New Roman" w:cs="Times New Roman"/>
          <w:sz w:val="28"/>
          <w:szCs w:val="28"/>
        </w:rPr>
        <w:t xml:space="preserve">Выводы и достижения заявленных целей за счет регулирования, об эффективности решения проблем и </w:t>
      </w:r>
      <w:proofErr w:type="gramStart"/>
      <w:r w:rsidR="00613C1B" w:rsidRPr="00480AC4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613C1B" w:rsidRPr="00480AC4">
        <w:rPr>
          <w:rFonts w:ascii="Times New Roman" w:hAnsi="Times New Roman" w:cs="Times New Roman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</w:t>
      </w:r>
      <w:r w:rsidR="00613C1B">
        <w:rPr>
          <w:rFonts w:ascii="Times New Roman" w:hAnsi="Times New Roman" w:cs="Times New Roman"/>
          <w:sz w:val="28"/>
          <w:szCs w:val="28"/>
        </w:rPr>
        <w:t>»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 xml:space="preserve"> и 12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>Подготовленные на основе полученных выводов п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редложения об отмене </w:t>
      </w:r>
      <w:proofErr w:type="gramStart"/>
      <w:r w:rsidR="00613C1B">
        <w:rPr>
          <w:rFonts w:ascii="Times New Roman" w:eastAsiaTheme="minorEastAsia" w:hAnsi="Times New Roman" w:cs="Times New Roman"/>
          <w:sz w:val="28"/>
          <w:szCs w:val="28"/>
        </w:rPr>
        <w:t>или изменении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нормативного правового акта или его отдельных положений, иных мерах, направленных на решение проблемы и преодоление связанных с ней негативных эффектов» заключения о результатах экспертизы муниципального нормативного правового акта.</w:t>
      </w:r>
      <w:proofErr w:type="gramEnd"/>
    </w:p>
    <w:p w:rsidR="00480AC4" w:rsidRPr="00613C1B" w:rsidRDefault="00F0393D" w:rsidP="00B578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393D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613C1B">
        <w:rPr>
          <w:rFonts w:ascii="Times New Roman" w:eastAsiaTheme="minorEastAsia" w:hAnsi="Times New Roman" w:cs="Times New Roman"/>
          <w:sz w:val="28"/>
          <w:szCs w:val="28"/>
        </w:rPr>
        <w:t>В разделе 12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заключения о результатах экспертизы муниципального нормативного правового акта </w:t>
      </w:r>
      <w:r w:rsidR="00613C1B" w:rsidRPr="00F0393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>Подготовленные на основе полученных выводов п</w:t>
      </w:r>
      <w:r w:rsidR="00613C1B" w:rsidRPr="00F0393D">
        <w:rPr>
          <w:rFonts w:ascii="Times New Roman" w:eastAsiaTheme="minorEastAsia" w:hAnsi="Times New Roman" w:cs="Times New Roman"/>
          <w:sz w:val="28"/>
          <w:szCs w:val="28"/>
        </w:rPr>
        <w:t xml:space="preserve">редложения об отмене 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>или изменении</w:t>
      </w:r>
      <w:r w:rsidR="00613C1B"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нормативного правового акта или его отдельных положений, иных мерах, направленных на решение проблемы и преодоление связанных с ней негативных эффектов» </w:t>
      </w:r>
      <w:r w:rsidRPr="00F0393D">
        <w:rPr>
          <w:rFonts w:ascii="Times New Roman" w:eastAsiaTheme="minorEastAsia" w:hAnsi="Times New Roman" w:cs="Times New Roman"/>
          <w:sz w:val="28"/>
          <w:szCs w:val="28"/>
        </w:rPr>
        <w:t>приводятся предложения об отмене или изменении муниципального нормативного правового акта или его отдельных положений, иных нормативных правовых актов, во</w:t>
      </w:r>
      <w:proofErr w:type="gramEnd"/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0393D">
        <w:rPr>
          <w:rFonts w:ascii="Times New Roman" w:eastAsiaTheme="minorEastAsia" w:hAnsi="Times New Roman" w:cs="Times New Roman"/>
          <w:sz w:val="28"/>
          <w:szCs w:val="28"/>
        </w:rPr>
        <w:t>исполнение</w:t>
      </w:r>
      <w:proofErr w:type="gramEnd"/>
      <w:r w:rsidRPr="00F0393D">
        <w:rPr>
          <w:rFonts w:ascii="Times New Roman" w:eastAsiaTheme="minorEastAsia" w:hAnsi="Times New Roman" w:cs="Times New Roman"/>
          <w:sz w:val="28"/>
          <w:szCs w:val="28"/>
        </w:rPr>
        <w:t xml:space="preserve"> которых был принят оцениваемый муниципальный нормативный правовой акт, другие предложения, направленные на достижение заявленных целей регулирования.</w:t>
      </w:r>
      <w:r w:rsidR="00613C1B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19260E" w:rsidRPr="0019260E" w:rsidRDefault="00613C1B" w:rsidP="00B578B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60E" w:rsidRPr="0019260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информационной газете «Пелымский </w:t>
      </w:r>
      <w:r w:rsidR="00B578B1">
        <w:rPr>
          <w:rFonts w:ascii="Times New Roman" w:hAnsi="Times New Roman" w:cs="Times New Roman"/>
          <w:sz w:val="28"/>
          <w:szCs w:val="28"/>
        </w:rPr>
        <w:t>в</w:t>
      </w:r>
      <w:r w:rsidR="0019260E" w:rsidRPr="0019260E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19260E" w:rsidRPr="0019260E" w:rsidRDefault="00480AC4" w:rsidP="00B578B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60E" w:rsidRPr="00192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60E" w:rsidRPr="00192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60E" w:rsidRPr="001926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r w:rsidR="0019260E">
        <w:rPr>
          <w:rFonts w:ascii="Times New Roman" w:hAnsi="Times New Roman" w:cs="Times New Roman"/>
          <w:sz w:val="28"/>
          <w:szCs w:val="28"/>
        </w:rPr>
        <w:t>Е.А. Смертину.</w:t>
      </w:r>
    </w:p>
    <w:p w:rsidR="0019260E" w:rsidRPr="0019260E" w:rsidRDefault="0019260E" w:rsidP="00B578B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60E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</w:t>
      </w:r>
      <w:r w:rsidR="00EF31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9260E">
        <w:rPr>
          <w:rFonts w:ascii="Times New Roman" w:hAnsi="Times New Roman" w:cs="Times New Roman"/>
          <w:sz w:val="28"/>
          <w:szCs w:val="28"/>
        </w:rPr>
        <w:t xml:space="preserve">                      Ш.Т. Алиев</w:t>
      </w:r>
    </w:p>
    <w:p w:rsidR="0019260E" w:rsidRPr="0019260E" w:rsidRDefault="0019260E" w:rsidP="0019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Default="00613C1B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B1" w:rsidRDefault="00B578B1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B1" w:rsidRDefault="00B578B1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Default="00613C1B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Default="00613C1B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Default="00613C1B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ECA" w:rsidRDefault="00034ECA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122" w:rsidRPr="00480AC4" w:rsidRDefault="00EF3122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Pr="00480AC4" w:rsidRDefault="00613C1B" w:rsidP="00613C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13C1B" w:rsidRPr="00480AC4" w:rsidRDefault="00613C1B" w:rsidP="00613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к Методике</w:t>
      </w:r>
    </w:p>
    <w:p w:rsidR="00613C1B" w:rsidRPr="00480AC4" w:rsidRDefault="00613C1B" w:rsidP="00613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613C1B" w:rsidRPr="00480AC4" w:rsidRDefault="00613C1B" w:rsidP="00613C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613C1B" w:rsidRPr="00480AC4" w:rsidRDefault="00613C1B" w:rsidP="0061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Pr="00613C1B" w:rsidRDefault="00613C1B" w:rsidP="00613C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1B" w:rsidRPr="00613C1B" w:rsidRDefault="00613C1B" w:rsidP="0061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13C1B">
        <w:rPr>
          <w:rFonts w:ascii="Times New Roman" w:eastAsiaTheme="minorEastAsia" w:hAnsi="Times New Roman" w:cs="Times New Roman"/>
          <w:color w:val="000000"/>
          <w:sz w:val="28"/>
          <w:szCs w:val="28"/>
        </w:rPr>
        <w:t>Пояснительная записка</w:t>
      </w:r>
    </w:p>
    <w:p w:rsidR="00613C1B" w:rsidRPr="00613C1B" w:rsidRDefault="00613C1B" w:rsidP="00613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13C1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 проекту </w:t>
      </w:r>
    </w:p>
    <w:p w:rsidR="00613C1B" w:rsidRPr="00EF3122" w:rsidRDefault="00613C1B" w:rsidP="00613C1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«____________________________»</w:t>
      </w:r>
    </w:p>
    <w:p w:rsidR="00613C1B" w:rsidRPr="00EF3122" w:rsidRDefault="00613C1B" w:rsidP="00613C1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32"/>
          <w:szCs w:val="28"/>
        </w:rPr>
        <w:t>(</w:t>
      </w:r>
      <w:r w:rsidRPr="00EF3122">
        <w:rPr>
          <w:rFonts w:ascii="Times New Roman" w:eastAsiaTheme="minorEastAsia" w:hAnsi="Times New Roman" w:cs="Times New Roman"/>
          <w:color w:val="000000"/>
          <w:sz w:val="36"/>
          <w:szCs w:val="28"/>
          <w:vertAlign w:val="subscript"/>
        </w:rPr>
        <w:t>н</w:t>
      </w:r>
      <w:r w:rsidRPr="00EF3122">
        <w:rPr>
          <w:rFonts w:ascii="Times New Roman" w:eastAsiaTheme="minorEastAsia" w:hAnsi="Times New Roman" w:cs="Times New Roman"/>
          <w:color w:val="000000"/>
          <w:sz w:val="32"/>
          <w:szCs w:val="28"/>
          <w:vertAlign w:val="subscript"/>
        </w:rPr>
        <w:t>аименование проекта НПА</w:t>
      </w:r>
      <w:r w:rsidRPr="00EF3122">
        <w:rPr>
          <w:rFonts w:ascii="Times New Roman" w:eastAsiaTheme="minorEastAsia" w:hAnsi="Times New Roman" w:cs="Times New Roman"/>
          <w:color w:val="000000"/>
          <w:sz w:val="32"/>
          <w:szCs w:val="28"/>
        </w:rPr>
        <w:t>)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Предлагаемый  к обсуждению проект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(наименование проекта НПА)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характеризуется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(высокой/средней/низкой)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степенью регулирующего воздействия по следующим признакам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(обоснование отнесения проекта НПА к той или иной степени регулирующего воздействия).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настоящее время сфера регулирования предлагаемого к разработке и принятию нормативного правового акта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(описание текущего состояния сферы регулирования, проблемы, на решение которой направлен проект НПА, негативного эффекта от проблемы в настоящее время и прогноз негативного эффекта от ее не решения в будущем)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Полномочия Ад</w:t>
      </w:r>
      <w:r w:rsid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министрации городского округа Пелым 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в регулируемой сфере определены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наименования законодательных и иных нормативных правовых актов, со ссылкой на конкретные их части (статьи), в соответствии с которыми осуществляется муниципальное регулирование).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Разработка и принятие (наименование проекта НПА) </w:t>
      </w:r>
      <w:proofErr w:type="gramStart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направлен</w:t>
      </w:r>
      <w:proofErr w:type="gramEnd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 реше</w:t>
      </w:r>
      <w:r w:rsid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ние проблемы следующим способом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(описание и обоснование оптимальности выбранного способа  регулирования)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Предполагается, что муниципальное регулирование будет направлено </w:t>
      </w:r>
      <w:proofErr w:type="gramStart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на</w:t>
      </w:r>
      <w:proofErr w:type="gramEnd"/>
      <w:r w:rsid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(или </w:t>
      </w:r>
      <w:proofErr w:type="gramStart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муниципальным</w:t>
      </w:r>
      <w:proofErr w:type="gramEnd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регулированием будут затронуты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) 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следующие группы субъектов предпринимательской (инвестиционной) деятельности, в части:</w:t>
      </w:r>
    </w:p>
    <w:tbl>
      <w:tblPr>
        <w:tblStyle w:val="12"/>
        <w:tblW w:w="9606" w:type="dxa"/>
        <w:tblLayout w:type="fixed"/>
        <w:tblLook w:val="04A0"/>
      </w:tblPr>
      <w:tblGrid>
        <w:gridCol w:w="2943"/>
        <w:gridCol w:w="1985"/>
        <w:gridCol w:w="2268"/>
        <w:gridCol w:w="2410"/>
      </w:tblGrid>
      <w:tr w:rsidR="00613C1B" w:rsidRPr="00EF3122" w:rsidTr="00ED2577">
        <w:tc>
          <w:tcPr>
            <w:tcW w:w="2943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5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Численность,</w:t>
            </w:r>
          </w:p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чел./ед.</w:t>
            </w:r>
          </w:p>
        </w:tc>
        <w:tc>
          <w:tcPr>
            <w:tcW w:w="2268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Вид и характеристика воздействия</w:t>
            </w:r>
          </w:p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расходы/снижение доходов,</w:t>
            </w:r>
          </w:p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</w:tc>
      </w:tr>
      <w:tr w:rsidR="00613C1B" w:rsidRPr="00EF3122" w:rsidTr="00ED2577">
        <w:tc>
          <w:tcPr>
            <w:tcW w:w="2943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 1</w:t>
            </w:r>
          </w:p>
        </w:tc>
        <w:tc>
          <w:tcPr>
            <w:tcW w:w="1985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Статистическая или экспертная количественная оценка группы 1</w:t>
            </w:r>
          </w:p>
        </w:tc>
        <w:tc>
          <w:tcPr>
            <w:tcW w:w="2268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>Новые   (изменяемые) обязанности, запреты, ограничения для группы 1</w:t>
            </w:r>
          </w:p>
        </w:tc>
        <w:tc>
          <w:tcPr>
            <w:tcW w:w="2410" w:type="dxa"/>
          </w:tcPr>
          <w:p w:rsidR="00613C1B" w:rsidRPr="00EF3122" w:rsidRDefault="00613C1B" w:rsidP="00EF3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1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Суммарная оценка расходов (недополученных доходов) группы 1 от введения нового регулирования </w:t>
            </w:r>
          </w:p>
        </w:tc>
      </w:tr>
    </w:tbl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В связи с принятием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наименование проекта НПА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) возникают (изменяются) полномочия Администрации</w:t>
      </w:r>
      <w:r w:rsid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городского округа Пелым, связанные с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осуществлением следующих функций: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описание новых (изменяющихся) функций, прав, обязанностей Администрации город</w:t>
      </w:r>
      <w:r w:rsid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ского округа Пелым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) следующими органами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наименование органов Администрации </w:t>
      </w:r>
      <w:r w:rsid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городского округа </w:t>
      </w:r>
      <w:proofErr w:type="gramStart"/>
      <w:r w:rsid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Пелым) </w:t>
      </w:r>
      <w:proofErr w:type="gramEnd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Данные изменения потребуют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указывается в случае необходимости: разработки новых НПА, изменения численности работников, исполняющих функции непосредственно связанные с предметом регулирования и т.п.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результате принятия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(наименование проекта НПА)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ожидается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(описание результата принятия НПА по следующим временным отрезкам: вступление в силу, в том числе по завершению переходного периода, при наличии такового, через год после вступления в силу, по завершению срока действия, при наличии такового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).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Реализация выбранного в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наименование проекта НПА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способа регулирования связана со следующими рисками: 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(описание возможных рисков, негативных последствий, как для групп субъектов предпринимательской инвестиционной деятельности, так и для органов местного самоуправления и населения муниципального образования)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Предполагаемая дата вступления в силу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наименование проекта НПА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sym w:font="Symbol" w:char="F02D"/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указывается точная дата в формате </w:t>
      </w:r>
      <w:proofErr w:type="spellStart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чч.мм</w:t>
      </w:r>
      <w:proofErr w:type="gramStart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.г</w:t>
      </w:r>
      <w:proofErr w:type="gramEnd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ггг</w:t>
      </w:r>
      <w:proofErr w:type="spellEnd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).</w:t>
      </w:r>
    </w:p>
    <w:p w:rsidR="00613C1B" w:rsidRPr="00EF3122" w:rsidRDefault="00613C1B" w:rsidP="00EF3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Переходный период (</w:t>
      </w:r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указывается при наличии, если переходный период предполагается по отдельным положениям и/или группам субъектов, то и указывается отдельно для каждого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</w:t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sym w:font="Symbol" w:char="F02D"/>
      </w:r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 (</w:t>
      </w:r>
      <w:proofErr w:type="spellStart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чч.мм</w:t>
      </w:r>
      <w:proofErr w:type="gramStart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.г</w:t>
      </w:r>
      <w:proofErr w:type="gramEnd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ггг</w:t>
      </w:r>
      <w:proofErr w:type="spellEnd"/>
      <w:r w:rsidRPr="00EF3122">
        <w:rPr>
          <w:rFonts w:ascii="Times New Roman" w:eastAsiaTheme="minorEastAsia" w:hAnsi="Times New Roman" w:cs="Times New Roman"/>
          <w:color w:val="000000"/>
          <w:sz w:val="28"/>
          <w:szCs w:val="28"/>
        </w:rPr>
        <w:t>)  по (</w:t>
      </w:r>
      <w:proofErr w:type="spellStart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чч.мм.гггг</w:t>
      </w:r>
      <w:proofErr w:type="spellEnd"/>
      <w:r w:rsidRPr="00EF3122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).</w:t>
      </w:r>
    </w:p>
    <w:p w:rsidR="00613C1B" w:rsidRPr="00471FA0" w:rsidRDefault="00613C1B" w:rsidP="00613C1B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  <w:sectPr w:rsidR="00613C1B" w:rsidRPr="00471FA0" w:rsidSect="00B578B1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80AC4" w:rsidRPr="00480AC4" w:rsidRDefault="00034ECA" w:rsidP="00480A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13C1B">
        <w:rPr>
          <w:rFonts w:ascii="Times New Roman" w:hAnsi="Times New Roman" w:cs="Times New Roman"/>
          <w:sz w:val="28"/>
          <w:szCs w:val="28"/>
        </w:rPr>
        <w:t>4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к Методике проведения экспертизы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4ECA">
        <w:rPr>
          <w:rFonts w:ascii="Times New Roman" w:hAnsi="Times New Roman" w:cs="Times New Roman"/>
          <w:sz w:val="28"/>
          <w:szCs w:val="28"/>
        </w:rPr>
        <w:t>Пелым</w:t>
      </w:r>
    </w:p>
    <w:p w:rsidR="00480AC4" w:rsidRPr="00613C1B" w:rsidRDefault="00480AC4" w:rsidP="00613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C1B" w:rsidRPr="00613C1B" w:rsidRDefault="00613C1B" w:rsidP="0061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4"/>
      <w:bookmarkEnd w:id="0"/>
      <w:r w:rsidRPr="00613C1B">
        <w:rPr>
          <w:rFonts w:ascii="Times New Roman" w:hAnsi="Times New Roman" w:cs="Times New Roman"/>
          <w:sz w:val="28"/>
          <w:szCs w:val="28"/>
        </w:rPr>
        <w:t>Форма</w:t>
      </w:r>
    </w:p>
    <w:p w:rsidR="00613C1B" w:rsidRPr="00613C1B" w:rsidRDefault="00613C1B" w:rsidP="0061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1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613C1B" w:rsidRPr="00613C1B" w:rsidRDefault="00613C1B" w:rsidP="0061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1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613C1B" w:rsidRPr="00613C1B" w:rsidRDefault="00613C1B" w:rsidP="0061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1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613C1B" w:rsidRPr="00613C1B" w:rsidRDefault="00613C1B" w:rsidP="0061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613C1B" w:rsidRPr="00613C1B" w:rsidTr="00ED257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1B" w:rsidRPr="00613C1B" w:rsidRDefault="00613C1B" w:rsidP="00ED2577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13C1B">
              <w:rPr>
                <w:rFonts w:ascii="Times New Roman" w:hAnsi="Times New Roman" w:cs="Times New Roman"/>
                <w:sz w:val="28"/>
                <w:szCs w:val="28"/>
              </w:rPr>
              <w:t>1. Реквизиты нормативного правового акт</w:t>
            </w:r>
            <w:proofErr w:type="gramStart"/>
            <w:r w:rsidRPr="00613C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13C1B">
              <w:rPr>
                <w:rFonts w:ascii="Times New Roman" w:hAnsi="Times New Roman" w:cs="Times New Roman"/>
                <w:sz w:val="28"/>
                <w:szCs w:val="28"/>
              </w:rPr>
              <w:t>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1B" w:rsidRPr="00613C1B" w:rsidRDefault="00613C1B" w:rsidP="00ED2577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1B" w:rsidRPr="00613C1B" w:rsidTr="00ED257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1B" w:rsidRPr="00613C1B" w:rsidRDefault="00613C1B" w:rsidP="00ED2577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13C1B">
              <w:rPr>
                <w:rFonts w:ascii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1B" w:rsidRPr="00613C1B" w:rsidRDefault="00613C1B" w:rsidP="00ED2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1B" w:rsidRPr="00613C1B" w:rsidTr="00ED257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1B" w:rsidRPr="00613C1B" w:rsidRDefault="00613C1B" w:rsidP="00ED2577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13C1B">
              <w:rPr>
                <w:rFonts w:ascii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1B" w:rsidRPr="00613C1B" w:rsidRDefault="00613C1B" w:rsidP="00ED2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C1B" w:rsidRDefault="00613C1B" w:rsidP="00613C1B">
      <w:pPr>
        <w:jc w:val="center"/>
      </w:pPr>
    </w:p>
    <w:p w:rsidR="0019260E" w:rsidRPr="00205E3B" w:rsidRDefault="0019260E" w:rsidP="0020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205E3B" w:rsidRPr="00205E3B" w:rsidRDefault="00205E3B" w:rsidP="00205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04E" w:rsidRPr="006D15A4" w:rsidRDefault="0049504E" w:rsidP="0049504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9504E" w:rsidRPr="00691772" w:rsidRDefault="0049504E" w:rsidP="0069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72" w:rsidRPr="00691772" w:rsidRDefault="00691772" w:rsidP="00691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DD3" w:rsidRPr="00691772" w:rsidRDefault="00A12DD3" w:rsidP="0069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D3" w:rsidRPr="00691772" w:rsidRDefault="00A12DD3" w:rsidP="0069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0A" w:rsidRPr="00591A1D" w:rsidRDefault="00B9350A" w:rsidP="00591A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591A1D" w:rsidSect="00A876DE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84" w:rsidRDefault="00AE6C84" w:rsidP="00A876DE">
      <w:pPr>
        <w:spacing w:after="0" w:line="240" w:lineRule="auto"/>
      </w:pPr>
      <w:r>
        <w:separator/>
      </w:r>
    </w:p>
  </w:endnote>
  <w:endnote w:type="continuationSeparator" w:id="0">
    <w:p w:rsidR="00AE6C84" w:rsidRDefault="00AE6C84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84" w:rsidRDefault="00AE6C84" w:rsidP="00A876DE">
      <w:pPr>
        <w:spacing w:after="0" w:line="240" w:lineRule="auto"/>
      </w:pPr>
      <w:r>
        <w:separator/>
      </w:r>
    </w:p>
  </w:footnote>
  <w:footnote w:type="continuationSeparator" w:id="0">
    <w:p w:rsidR="00AE6C84" w:rsidRDefault="00AE6C84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613C1B" w:rsidRDefault="004E3A9F">
        <w:pPr>
          <w:pStyle w:val="a7"/>
          <w:jc w:val="center"/>
        </w:pPr>
        <w:fldSimple w:instr="PAGE   \* MERGEFORMAT">
          <w:r w:rsidR="00B578B1">
            <w:rPr>
              <w:noProof/>
            </w:rPr>
            <w:t>2</w:t>
          </w:r>
        </w:fldSimple>
      </w:p>
    </w:sdtContent>
  </w:sdt>
  <w:p w:rsidR="00613C1B" w:rsidRDefault="00613C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1" w:rsidRDefault="004E3A9F" w:rsidP="00A876DE">
    <w:pPr>
      <w:pStyle w:val="a7"/>
      <w:jc w:val="center"/>
    </w:pPr>
    <w:fldSimple w:instr=" PAGE   \* MERGEFORMAT ">
      <w:r w:rsidR="00EF3122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F0C2A"/>
    <w:rsid w:val="000F4160"/>
    <w:rsid w:val="000F7F39"/>
    <w:rsid w:val="00102332"/>
    <w:rsid w:val="0010556E"/>
    <w:rsid w:val="00132DBE"/>
    <w:rsid w:val="0013301A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3A9F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13C1B"/>
    <w:rsid w:val="006203BE"/>
    <w:rsid w:val="00640796"/>
    <w:rsid w:val="00641D94"/>
    <w:rsid w:val="006529A9"/>
    <w:rsid w:val="00652A36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E6C84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578B1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CF4E11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D3876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122"/>
    <w:rsid w:val="00EF348C"/>
    <w:rsid w:val="00EF5F38"/>
    <w:rsid w:val="00F02FB1"/>
    <w:rsid w:val="00F0393D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  <w:style w:type="table" w:customStyle="1" w:styleId="12">
    <w:name w:val="Сетка таблицы1"/>
    <w:basedOn w:val="a1"/>
    <w:next w:val="a6"/>
    <w:uiPriority w:val="59"/>
    <w:rsid w:val="00613C1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1EB7CD9C9237D3913EB4C79843881A6915C205805E6DCD77B5861DBF830CB1BF01650CFC61280F28BF320K7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1591B59934E75A5C611ABB67770FAA6C3C3268A9E79DF158538E9E4E78E1DCCF964FDEAE8BC10A7D23C2ABV3H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91B59934E75A5C6104B6711B51A06F366C65ADE99EA2050F88C911V2H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8812-A720-41A5-9670-95142637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Аня Ветошкина</cp:lastModifiedBy>
  <cp:revision>8</cp:revision>
  <cp:lastPrinted>2017-03-26T09:51:00Z</cp:lastPrinted>
  <dcterms:created xsi:type="dcterms:W3CDTF">2017-03-01T11:44:00Z</dcterms:created>
  <dcterms:modified xsi:type="dcterms:W3CDTF">2017-03-30T08:58:00Z</dcterms:modified>
</cp:coreProperties>
</file>