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решение </w:t>
            </w:r>
            <w:r w:rsidR="00803BC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Думы городского округа Пелым </w:t>
            </w:r>
            <w:r w:rsidR="00803BCD">
              <w:rPr>
                <w:rFonts w:ascii="Liberation Serif" w:hAnsi="Liberation Serif" w:cs="Liberation Serif" w:hint="eastAsia"/>
                <w:bCs/>
                <w:i/>
                <w:sz w:val="28"/>
                <w:szCs w:val="28"/>
              </w:rPr>
              <w:t>«</w:t>
            </w:r>
            <w:r w:rsidR="00803BC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Об утверждении Положения </w:t>
            </w:r>
            <w:r w:rsidR="00803BCD" w:rsidRPr="00803B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 </w:t>
            </w:r>
            <w:r w:rsidR="00530B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муниципальном лесном контроле на территории городского округа Пелым</w:t>
            </w:r>
            <w:r w:rsidR="009C486C">
              <w:rPr>
                <w:rFonts w:ascii="Liberation Serif" w:hAnsi="Liberation Serif" w:cs="Liberation Serif" w:hint="eastAsia"/>
                <w:bCs/>
                <w:i/>
                <w:iCs/>
                <w:sz w:val="28"/>
                <w:szCs w:val="28"/>
              </w:rPr>
              <w:t>»</w:t>
            </w:r>
            <w:r w:rsidRPr="00803BC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           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P55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A12" w:rsidRDefault="00134A12" w:rsidP="00134A12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134A12" w:rsidRDefault="00134A12" w:rsidP="00134A1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34A12" w:rsidRDefault="00134A12" w:rsidP="00134A1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профильном органе, проводящем оценку регулирующего воздействия: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Пелым, о</w:t>
            </w:r>
            <w:r w:rsidRPr="00F50A84">
              <w:rPr>
                <w:rFonts w:ascii="Liberation Serif" w:hAnsi="Liberation Serif" w:cs="Liberation Serif"/>
                <w:i/>
                <w:sz w:val="28"/>
                <w:szCs w:val="28"/>
              </w:rPr>
              <w:t>тдел по управлению имуществом, строительству, жилищно-коммунальному хозяйству, землеустройству, энергетике</w:t>
            </w:r>
          </w:p>
          <w:p w:rsidR="00134A12" w:rsidRDefault="00134A12" w:rsidP="00134A1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34A12" w:rsidRDefault="00134A12" w:rsidP="00134A1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Газизова Анастасия Алексеевна</w:t>
            </w:r>
          </w:p>
          <w:p w:rsidR="00134A12" w:rsidRDefault="00134A12" w:rsidP="00134A1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специалист 1 категории по землеустройству и градостроительству администрации городского округа Пелым</w:t>
            </w:r>
          </w:p>
          <w:p w:rsidR="00134A12" w:rsidRDefault="00134A12" w:rsidP="00134A1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134A12" w:rsidP="00134A12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(34386) 2-77-08</w:t>
            </w:r>
            <w:bookmarkStart w:id="1" w:name="_GoBack"/>
            <w:bookmarkEnd w:id="1"/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г.Ивдель,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r w:rsidR="00134A12" w:rsidRPr="00F50A8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zotde</w:t>
            </w:r>
            <w:r w:rsidR="00134A12">
              <w:rPr>
                <w:rFonts w:ascii="Liberation Serif" w:hAnsi="Liberation Serif" w:cs="Liberation Serif"/>
                <w:sz w:val="28"/>
                <w:szCs w:val="28"/>
              </w:rPr>
              <w:t>l@yandex.</w:t>
            </w:r>
            <w:r w:rsidR="00134A1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530BBA" w:rsidRDefault="00E4060C">
            <w:pPr>
              <w:pStyle w:val="ConsPlusNormal"/>
              <w:jc w:val="both"/>
              <w:rPr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</w:t>
            </w:r>
            <w:r w:rsidR="005E5B1F" w:rsidRPr="00530B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6"/>
                <w:lang w:eastAsia="ru-RU"/>
              </w:rPr>
              <w:t xml:space="preserve">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</w:t>
            </w:r>
            <w:r w:rsidR="005E5B1F" w:rsidRPr="00530B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6"/>
                <w:lang w:eastAsia="ru-RU"/>
              </w:rPr>
              <w:lastRenderedPageBreak/>
              <w:t>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5954" w:rsidRDefault="00E4060C">
            <w:pPr>
              <w:overflowPunct/>
              <w:autoSpaceDE/>
              <w:jc w:val="both"/>
              <w:textAlignment w:val="auto"/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Невозможность осуществлять муниципальный </w:t>
            </w:r>
            <w:r w:rsidR="00530BBA">
              <w:rPr>
                <w:rFonts w:ascii="Liberation Serif" w:hAnsi="Liberation Serif" w:cs="Liberation Serif"/>
                <w:i/>
                <w:szCs w:val="28"/>
              </w:rPr>
              <w:t>лесной контроль на территории городского округа Пелым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>
              <w:rPr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535954" w:rsidRDefault="00535954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1"/>
            <w:bookmarkStart w:id="9" w:name="P94"/>
            <w:bookmarkEnd w:id="8"/>
            <w:bookmarkEnd w:id="9"/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5E157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сфере 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муни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ци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пального </w:t>
            </w:r>
            <w:r w:rsidR="00530BBA">
              <w:rPr>
                <w:rFonts w:ascii="Liberation Serif" w:hAnsi="Liberation Serif" w:cs="Liberation Serif"/>
                <w:i/>
                <w:sz w:val="28"/>
                <w:szCs w:val="28"/>
              </w:rPr>
              <w:t>лесного контроля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Положения, регулирующие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19"/>
            <w:bookmarkStart w:id="15" w:name="P125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</w:t>
            </w:r>
            <w:r w:rsidR="00530BBA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муниципальном лесном контроле на территории городского округа Пелым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» в соответствии с требованиями, установленными Федеральным законом от 31 июля 2020 года № 248-ФЗ поз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 и индивидуальные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предприниматели, попадающие под вид регионального государственного контроля (надзора)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9.2.3. Индивидуальные предприниматели –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 xml:space="preserve"> 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 юридические лица – 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9.3. После введения предлагаемого регулирования: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формирование плана проверок на основе риск-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ориентированного подхода;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535954" w:rsidRDefault="00E4060C" w:rsidP="00530BBA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</w:t>
            </w:r>
            <w:r w:rsidR="00530B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муниципального лесного контроля на территории городского округа Пелым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осуществляется в рамках исполнения существующих функций)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Прокуратура Свердловской области</w:t>
            </w:r>
          </w:p>
        </w:tc>
      </w:tr>
      <w:tr w:rsidR="00535954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среде,а также причинение вреда (ущерба) охраняемым законом ценностямв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535954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Распределение 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4. Проведение оценки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535954" w:rsidRDefault="00E4060C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видов контрольно-надзорных мероприятий, определенных положением о виде муниципального котроля, в соответствии с требованиями, установленными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Федеральным законом от 31 июля 2020 года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Default="00E4060C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44386" w:rsidRPr="00803BCD">
              <w:rPr>
                <w:i/>
                <w:szCs w:val="28"/>
              </w:rPr>
              <w:t>муниципально</w:t>
            </w:r>
            <w:r w:rsidR="00944386">
              <w:rPr>
                <w:i/>
                <w:szCs w:val="28"/>
              </w:rPr>
              <w:t>го</w:t>
            </w:r>
            <w:r w:rsidR="00944386" w:rsidRPr="00803BCD">
              <w:rPr>
                <w:i/>
                <w:szCs w:val="28"/>
              </w:rPr>
              <w:t xml:space="preserve"> </w:t>
            </w:r>
            <w:r w:rsidR="00737A9A">
              <w:rPr>
                <w:i/>
                <w:szCs w:val="28"/>
              </w:rPr>
              <w:t>лесного контроля</w:t>
            </w:r>
            <w:r w:rsidR="00944386" w:rsidRPr="00803BCD">
              <w:rPr>
                <w:i/>
                <w:szCs w:val="28"/>
              </w:rPr>
              <w:t xml:space="preserve"> на территории городского округа Пелым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Т.Н.Баландина                                                   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E4060C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8E" w:rsidRDefault="0002108E">
      <w:r>
        <w:separator/>
      </w:r>
    </w:p>
  </w:endnote>
  <w:endnote w:type="continuationSeparator" w:id="0">
    <w:p w:rsidR="0002108E" w:rsidRDefault="000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8E" w:rsidRDefault="0002108E">
      <w:r>
        <w:rPr>
          <w:color w:val="000000"/>
        </w:rPr>
        <w:separator/>
      </w:r>
    </w:p>
  </w:footnote>
  <w:footnote w:type="continuationSeparator" w:id="0">
    <w:p w:rsidR="0002108E" w:rsidRDefault="0002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94" w:rsidRDefault="004B7585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134A12">
      <w:rPr>
        <w:noProof/>
      </w:rPr>
      <w:t>2</w:t>
    </w:r>
    <w:r>
      <w:fldChar w:fldCharType="end"/>
    </w:r>
  </w:p>
  <w:p w:rsidR="00C85B94" w:rsidRDefault="000210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954"/>
    <w:rsid w:val="0002108E"/>
    <w:rsid w:val="00134A12"/>
    <w:rsid w:val="004B7585"/>
    <w:rsid w:val="00530BBA"/>
    <w:rsid w:val="00535954"/>
    <w:rsid w:val="005E1578"/>
    <w:rsid w:val="005E5B1F"/>
    <w:rsid w:val="00737A9A"/>
    <w:rsid w:val="00803BCD"/>
    <w:rsid w:val="00944386"/>
    <w:rsid w:val="00947F63"/>
    <w:rsid w:val="009C486C"/>
    <w:rsid w:val="00AB43B9"/>
    <w:rsid w:val="00AB4BAD"/>
    <w:rsid w:val="00AE0A5A"/>
    <w:rsid w:val="00E4060C"/>
    <w:rsid w:val="00E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14A6"/>
  <w15:docId w15:val="{7D1165D1-2186-496E-8F4A-BC9E819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Екатерина_Хайдукова</cp:lastModifiedBy>
  <cp:revision>6</cp:revision>
  <cp:lastPrinted>2021-07-16T08:47:00Z</cp:lastPrinted>
  <dcterms:created xsi:type="dcterms:W3CDTF">2021-07-16T05:27:00Z</dcterms:created>
  <dcterms:modified xsi:type="dcterms:W3CDTF">2021-08-05T04:44:00Z</dcterms:modified>
</cp:coreProperties>
</file>