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4" w:rsidRDefault="00E4060C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решение </w:t>
            </w:r>
            <w:r w:rsidR="00803BC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Думы городского округа Пелым </w:t>
            </w:r>
            <w:r w:rsidR="00803BCD">
              <w:rPr>
                <w:rFonts w:ascii="Liberation Serif" w:hAnsi="Liberation Serif" w:cs="Liberation Serif" w:hint="eastAsia"/>
                <w:bCs/>
                <w:i/>
                <w:sz w:val="28"/>
                <w:szCs w:val="28"/>
              </w:rPr>
              <w:t>«</w:t>
            </w:r>
            <w:r w:rsidR="00803BC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Об утверждении Положения </w:t>
            </w:r>
            <w:r w:rsidR="00803BCD" w:rsidRPr="00803BC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 муниципальном </w:t>
            </w:r>
            <w:r w:rsidR="00803BCD" w:rsidRPr="00803BCD">
              <w:rPr>
                <w:rFonts w:ascii="Times New Roman" w:hAnsi="Times New Roman"/>
                <w:i/>
                <w:sz w:val="28"/>
                <w:szCs w:val="28"/>
              </w:rPr>
              <w:t>контроле 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 w:rsidR="009C486C">
              <w:rPr>
                <w:rFonts w:ascii="Liberation Serif" w:hAnsi="Liberation Serif" w:cs="Liberation Serif" w:hint="eastAsia"/>
                <w:bCs/>
                <w:i/>
                <w:iCs/>
                <w:sz w:val="28"/>
                <w:szCs w:val="28"/>
              </w:rPr>
              <w:t>»</w:t>
            </w:r>
            <w:r w:rsidRPr="00803BCD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           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803BC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03BCD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AB4BA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Пелым, экономико-правовой отдел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Якимова Надежда Николаевна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главный специалист по экономике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AB4BA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86-2-17-89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г.Ивдель, п.Пелым, ул. Карла Маркса, к. №8</w:t>
            </w:r>
          </w:p>
          <w:p w:rsidR="009C486C" w:rsidRPr="009C486C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hyperlink r:id="rId7" w:history="1"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n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yakimova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80@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yandex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9C486C" w:rsidRPr="009C48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Предложения по подготовке проекта акта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  <w:p w:rsidR="00535954" w:rsidRPr="00AB4BAD" w:rsidRDefault="00535954" w:rsidP="009C486C">
            <w:pPr>
              <w:pStyle w:val="ConsPlusNormal"/>
              <w:ind w:left="720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5E5B1F" w:rsidRDefault="00E4060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</w:t>
            </w:r>
            <w:r w:rsidR="005E5B1F" w:rsidRPr="005E5B1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535954" w:rsidRDefault="00E4060C">
            <w:pPr>
              <w:overflowPunct/>
              <w:autoSpaceDE/>
              <w:jc w:val="both"/>
              <w:textAlignment w:val="auto"/>
            </w:pPr>
            <w:r>
              <w:rPr>
                <w:rFonts w:ascii="Liberation Serif" w:hAnsi="Liberation Serif" w:cs="Liberation Serif"/>
                <w:i/>
                <w:szCs w:val="28"/>
              </w:rPr>
              <w:t>Невозможность осуществлять муниципальный контроль</w:t>
            </w:r>
            <w:r w:rsidR="005E1578" w:rsidRPr="00803BCD">
              <w:rPr>
                <w:i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7" w:name="P88"/>
            <w:bookmarkEnd w:id="7"/>
            <w:r>
              <w:rPr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535954" w:rsidRDefault="00535954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1"/>
            <w:bookmarkStart w:id="9" w:name="P94"/>
            <w:bookmarkEnd w:id="8"/>
            <w:bookmarkEnd w:id="9"/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5E157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сфере 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муни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ци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пального контроля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E1578" w:rsidRPr="00803BCD">
              <w:rPr>
                <w:rFonts w:ascii="Times New Roman" w:hAnsi="Times New Roman"/>
                <w:i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 1 января 2022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119"/>
            <w:bookmarkStart w:id="15" w:name="P125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</w:t>
            </w:r>
            <w:r w:rsidR="005E1578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муниципальном контроле </w:t>
            </w:r>
            <w:r w:rsidR="005E1578" w:rsidRPr="00803BCD">
              <w:rPr>
                <w:rFonts w:ascii="Times New Roman" w:hAnsi="Times New Roman"/>
                <w:i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» в соответствии с требованиями, установленными Федеральным законом от 31 июля 2020 года № 248-ФЗ поз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9.2.3. Индивидуальные предприниматели –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 xml:space="preserve"> 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 юридические лица – 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формирование плана проверок на основе риск-ориентированного подхода;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</w:t>
            </w:r>
            <w:r w:rsidR="00944386" w:rsidRPr="00803BC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муниципальном </w:t>
            </w:r>
            <w:r w:rsidR="00944386" w:rsidRPr="00803BCD">
              <w:rPr>
                <w:rFonts w:ascii="Times New Roman" w:hAnsi="Times New Roman"/>
                <w:i/>
                <w:sz w:val="28"/>
                <w:szCs w:val="28"/>
              </w:rPr>
              <w:t>контроле 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 w:rsidR="009443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осуществляется в рамках исполнения существующих функций)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Прокуратура Свердловской области</w:t>
            </w:r>
          </w:p>
        </w:tc>
      </w:tr>
      <w:tr w:rsidR="00535954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Единовременные расходы: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среде,а также причинение вреда (ущерба) охраняемым законом ценностямв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199"/>
            <w:bookmarkStart w:id="28" w:name="P207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: Федеральный закон от 31 июля 2020 года № 248-ФЗ «О государственном контроле (надзоре) и муниципальном контроле в Российской </w:t>
            </w:r>
            <w:r>
              <w:rPr>
                <w:rFonts w:ascii="Liberation Serif" w:hAnsi="Liberation Serif" w:cs="Liberation Serif"/>
                <w:i/>
                <w:szCs w:val="28"/>
              </w:rPr>
              <w:lastRenderedPageBreak/>
              <w:t>Федерации»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535954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Распределение 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3. Проведение мероприятий по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профилактике нарушений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535954" w:rsidRDefault="00E4060C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видов контрольно-надзорных мероприятий, определенных положением о виде муниципального котроля, в соответст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вии с требованиями, установленными Федеральным законом от 31 июля 2020 года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P249"/>
            <w:bookmarkStart w:id="32" w:name="P260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Default="00E4060C">
            <w:pPr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44386" w:rsidRPr="00803BCD">
              <w:rPr>
                <w:i/>
                <w:szCs w:val="28"/>
              </w:rPr>
              <w:t>муниципально</w:t>
            </w:r>
            <w:r w:rsidR="00944386">
              <w:rPr>
                <w:i/>
                <w:szCs w:val="28"/>
              </w:rPr>
              <w:t>го</w:t>
            </w:r>
            <w:r w:rsidR="00944386" w:rsidRPr="00803BCD">
              <w:rPr>
                <w:i/>
                <w:szCs w:val="28"/>
              </w:rPr>
              <w:t xml:space="preserve"> контрол</w:t>
            </w:r>
            <w:r w:rsidR="00944386">
              <w:rPr>
                <w:i/>
                <w:szCs w:val="28"/>
              </w:rPr>
              <w:t>я</w:t>
            </w:r>
            <w:r w:rsidR="00944386" w:rsidRPr="00803BCD">
              <w:rPr>
                <w:i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4386" w:rsidRDefault="00E4060C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944386">
        <w:rPr>
          <w:rFonts w:ascii="Liberation Serif" w:hAnsi="Liberation Serif" w:cs="Liberation Serif"/>
          <w:sz w:val="28"/>
          <w:szCs w:val="28"/>
        </w:rPr>
        <w:t xml:space="preserve">главы администрации </w:t>
      </w: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Т.Н.Баландина                                                   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Default="00E4060C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Подпись</w:t>
      </w:r>
    </w:p>
    <w:p w:rsidR="00535954" w:rsidRDefault="005359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535954" w:rsidRDefault="00535954">
      <w:pPr>
        <w:rPr>
          <w:rFonts w:ascii="Liberation Serif" w:hAnsi="Liberation Serif" w:cs="Liberation Serif"/>
          <w:szCs w:val="28"/>
        </w:rPr>
      </w:pPr>
    </w:p>
    <w:sectPr w:rsidR="00535954" w:rsidSect="004B758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63" w:rsidRDefault="00947F63">
      <w:r>
        <w:separator/>
      </w:r>
    </w:p>
  </w:endnote>
  <w:endnote w:type="continuationSeparator" w:id="1">
    <w:p w:rsidR="00947F63" w:rsidRDefault="0094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63" w:rsidRDefault="00947F63">
      <w:r>
        <w:rPr>
          <w:color w:val="000000"/>
        </w:rPr>
        <w:separator/>
      </w:r>
    </w:p>
  </w:footnote>
  <w:footnote w:type="continuationSeparator" w:id="1">
    <w:p w:rsidR="00947F63" w:rsidRDefault="0094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94" w:rsidRDefault="004B7585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944386">
      <w:rPr>
        <w:noProof/>
      </w:rPr>
      <w:t>2</w:t>
    </w:r>
    <w:r>
      <w:fldChar w:fldCharType="end"/>
    </w:r>
  </w:p>
  <w:p w:rsidR="00C85B94" w:rsidRDefault="00947F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54"/>
    <w:rsid w:val="004B7585"/>
    <w:rsid w:val="00535954"/>
    <w:rsid w:val="005E1578"/>
    <w:rsid w:val="005E5B1F"/>
    <w:rsid w:val="00803BCD"/>
    <w:rsid w:val="00944386"/>
    <w:rsid w:val="00947F63"/>
    <w:rsid w:val="009C486C"/>
    <w:rsid w:val="00AB4BAD"/>
    <w:rsid w:val="00E4060C"/>
    <w:rsid w:val="00E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yakim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EkaterinaE</cp:lastModifiedBy>
  <cp:revision>3</cp:revision>
  <cp:lastPrinted>2021-07-16T06:39:00Z</cp:lastPrinted>
  <dcterms:created xsi:type="dcterms:W3CDTF">2021-07-16T05:27:00Z</dcterms:created>
  <dcterms:modified xsi:type="dcterms:W3CDTF">2021-07-16T06:45:00Z</dcterms:modified>
</cp:coreProperties>
</file>