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9" w:rsidRPr="00612EED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986C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Заключение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6C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 результатах экспертизы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6C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муниципального нормативного правового акта</w:t>
      </w:r>
    </w:p>
    <w:p w:rsidR="00ED473B" w:rsidRPr="00986C70" w:rsidRDefault="00084AD4" w:rsidP="00B827A4">
      <w:pPr>
        <w:pStyle w:val="ConsPlusNormal"/>
        <w:jc w:val="both"/>
        <w:rPr>
          <w:rFonts w:ascii="Liberation Serif" w:hAnsi="Liberation Serif" w:cs="Liberation Serif"/>
          <w:i/>
          <w:color w:val="FF0000"/>
          <w:sz w:val="24"/>
          <w:szCs w:val="24"/>
        </w:rPr>
      </w:pPr>
      <w:r w:rsidRPr="00986C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="00B827A4" w:rsidRPr="00986C70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Проект постановления администрации городского округа Пелым «Об утверждении Административного </w:t>
      </w:r>
      <w:hyperlink w:anchor="Par48" w:history="1">
        <w:proofErr w:type="gramStart"/>
        <w:r w:rsidR="00B827A4" w:rsidRPr="00986C70">
          <w:rPr>
            <w:rFonts w:ascii="Liberation Serif" w:hAnsi="Liberation Serif" w:cs="Liberation Serif"/>
            <w:i/>
            <w:color w:val="FF0000"/>
            <w:sz w:val="24"/>
            <w:szCs w:val="24"/>
          </w:rPr>
          <w:t>регламент</w:t>
        </w:r>
        <w:proofErr w:type="gramEnd"/>
      </w:hyperlink>
      <w:r w:rsidR="00B827A4" w:rsidRPr="00986C70">
        <w:rPr>
          <w:rFonts w:ascii="Liberation Serif" w:hAnsi="Liberation Serif" w:cs="Liberation Serif"/>
          <w:i/>
          <w:color w:val="FF0000"/>
          <w:sz w:val="24"/>
          <w:szCs w:val="24"/>
        </w:rPr>
        <w:t>а предоставления муниципальной услуги «Запись на обучение по дополнительной общеобразовательной программе»</w:t>
      </w:r>
      <w:r w:rsidR="00ED473B" w:rsidRPr="00986C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</w:t>
      </w:r>
    </w:p>
    <w:p w:rsidR="00084AD4" w:rsidRPr="00986C70" w:rsidRDefault="00084AD4" w:rsidP="00084AD4">
      <w:pPr>
        <w:spacing w:after="0" w:line="240" w:lineRule="auto"/>
        <w:ind w:firstLine="50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84AD4" w:rsidRPr="00986C70" w:rsidRDefault="00084AD4" w:rsidP="00084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986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Планируемый срок вступления в силу: </w:t>
      </w:r>
      <w:r w:rsidRPr="00986C70">
        <w:rPr>
          <w:rFonts w:ascii="Liberation Serif" w:eastAsia="Times New Roman" w:hAnsi="Liberation Serif" w:cs="Liberation Serif"/>
          <w:color w:val="FF0000"/>
          <w:sz w:val="24"/>
          <w:szCs w:val="28"/>
          <w:lang w:eastAsia="ru-RU"/>
        </w:rPr>
        <w:t xml:space="preserve">с </w:t>
      </w:r>
      <w:r w:rsidR="00612EED" w:rsidRPr="00986C70">
        <w:rPr>
          <w:rFonts w:ascii="Liberation Serif" w:eastAsia="Times New Roman" w:hAnsi="Liberation Serif" w:cs="Liberation Serif"/>
          <w:color w:val="FF0000"/>
          <w:sz w:val="24"/>
          <w:szCs w:val="28"/>
          <w:lang w:eastAsia="ru-RU"/>
        </w:rPr>
        <w:t>1</w:t>
      </w:r>
      <w:r w:rsidRPr="00986C70">
        <w:rPr>
          <w:rFonts w:ascii="Liberation Serif" w:eastAsia="Times New Roman" w:hAnsi="Liberation Serif" w:cs="Liberation Serif"/>
          <w:color w:val="FF0000"/>
          <w:sz w:val="24"/>
          <w:szCs w:val="28"/>
          <w:lang w:eastAsia="ru-RU"/>
        </w:rPr>
        <w:t>0</w:t>
      </w:r>
      <w:r w:rsidRPr="00986C70">
        <w:rPr>
          <w:rFonts w:ascii="Liberation Serif" w:eastAsia="Times New Roman" w:hAnsi="Liberation Serif" w:cs="Liberation Serif"/>
          <w:i/>
          <w:color w:val="FF0000"/>
          <w:sz w:val="24"/>
          <w:szCs w:val="28"/>
          <w:lang w:eastAsia="ru-RU"/>
        </w:rPr>
        <w:t xml:space="preserve"> </w:t>
      </w:r>
      <w:r w:rsidR="00612EED" w:rsidRPr="00986C70">
        <w:rPr>
          <w:rFonts w:ascii="Liberation Serif" w:eastAsia="Times New Roman" w:hAnsi="Liberation Serif" w:cs="Liberation Serif"/>
          <w:i/>
          <w:color w:val="FF0000"/>
          <w:sz w:val="24"/>
          <w:szCs w:val="28"/>
          <w:lang w:eastAsia="ru-RU"/>
        </w:rPr>
        <w:t>дека</w:t>
      </w:r>
      <w:r w:rsidRPr="00986C70">
        <w:rPr>
          <w:rFonts w:ascii="Liberation Serif" w:eastAsia="Times New Roman" w:hAnsi="Liberation Serif" w:cs="Liberation Serif"/>
          <w:i/>
          <w:color w:val="FF0000"/>
          <w:sz w:val="24"/>
          <w:szCs w:val="28"/>
          <w:lang w:eastAsia="ru-RU"/>
        </w:rPr>
        <w:t>бря 2021 года</w:t>
      </w:r>
      <w:r w:rsidRPr="00986C70">
        <w:rPr>
          <w:rFonts w:ascii="Liberation Serif" w:eastAsia="Times New Roman" w:hAnsi="Liberation Serif" w:cs="Liberation Serif"/>
          <w:bCs/>
          <w:i/>
          <w:color w:val="FF0000"/>
          <w:sz w:val="26"/>
          <w:szCs w:val="28"/>
          <w:lang w:eastAsia="ru-RU"/>
        </w:rPr>
        <w:t>»</w:t>
      </w:r>
      <w:r w:rsidRPr="00986C70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. 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986C70" w:rsidRPr="00986C70" w:rsidTr="004D31EB">
        <w:trPr>
          <w:trHeight w:val="2158"/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ED473B" w:rsidRPr="00986C70" w:rsidRDefault="00B827A4" w:rsidP="00B827A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</w:pPr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Проект постановления администрации городского округа Пелым «Об утверждении Административного </w:t>
            </w:r>
            <w:hyperlink w:anchor="Par48" w:history="1">
              <w:proofErr w:type="gramStart"/>
              <w:r w:rsidRPr="00986C70">
                <w:rPr>
                  <w:rFonts w:ascii="Liberation Serif" w:eastAsia="Calibri" w:hAnsi="Liberation Serif" w:cs="Liberation Serif"/>
                  <w:i/>
                  <w:color w:val="FF0000"/>
                  <w:sz w:val="24"/>
                  <w:szCs w:val="24"/>
                </w:rPr>
                <w:t>регламент</w:t>
              </w:r>
              <w:proofErr w:type="gramEnd"/>
            </w:hyperlink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>а предоставления муниципальной услуги «Запись на обучение по дополнительной общеобразовательной программе»</w:t>
            </w:r>
            <w:r w:rsidR="00ED473B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Официальный сайт городского округа Пелым http://go.pelym-adm.info/        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</w:p>
          <w:p w:rsidR="006E0C09" w:rsidRPr="00986C70" w:rsidRDefault="006E0C09" w:rsidP="00B82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B827A4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4D31EB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827A4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дека</w:t>
            </w:r>
            <w:r w:rsidR="004D31EB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бря</w:t>
            </w: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4D31EB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регулирования на ранее возникшие отношения: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 местного самоуправления городского округа Пелым, принявший оцениваемый муниципальный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6E0C09" w:rsidRPr="00986C70" w:rsidRDefault="004D31EB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="006E0C09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Пелым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Сфера муниципального регулирования:</w:t>
            </w:r>
          </w:p>
          <w:p w:rsidR="00B827A4" w:rsidRPr="00986C70" w:rsidRDefault="00B827A4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Позволит урегулировать отношения, возникающие в связи с предоставлением муниципальной услуги «Запись на </w:t>
            </w:r>
            <w:proofErr w:type="gramStart"/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>обучение</w:t>
            </w:r>
            <w:proofErr w:type="gramEnd"/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 по дополнительной образовательной программе»</w:t>
            </w:r>
          </w:p>
          <w:p w:rsidR="00ED473B" w:rsidRPr="00986C70" w:rsidRDefault="00ED473B" w:rsidP="00B82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муниципального нормативного правового акта *: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Проводилось: 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да 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(нет)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Степень регулирующего воздействия положений муниципального нормативного правового проекта акта: высокая (средняя, 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низкая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начало: "_</w:t>
            </w:r>
            <w:r w:rsidR="00D637F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6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_" _</w:t>
            </w:r>
            <w:r w:rsidR="00D637F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</w:t>
            </w:r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0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_________ 20</w:t>
            </w:r>
            <w:r w:rsidR="00D637F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21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 г.;</w:t>
            </w:r>
          </w:p>
          <w:p w:rsidR="006E0C09" w:rsidRPr="00986C70" w:rsidRDefault="006E0C09" w:rsidP="00B82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окончание: "</w:t>
            </w:r>
            <w:r w:rsidR="00D637F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16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__" __</w:t>
            </w:r>
            <w:r w:rsidR="00D637F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</w:t>
            </w:r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________ 20</w:t>
            </w:r>
            <w:r w:rsidR="00D637F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2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 г.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Сроки проведения публичных консультаций проекта муниципального нормативного правового акта: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начало: "_</w:t>
            </w:r>
            <w:r w:rsidR="003241BF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6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_" ___</w:t>
            </w:r>
            <w:r w:rsidR="003241BF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10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_______ 20</w:t>
            </w:r>
            <w:r w:rsidR="003241BF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21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 г.;</w:t>
            </w:r>
          </w:p>
          <w:p w:rsidR="006E0C09" w:rsidRPr="00986C70" w:rsidRDefault="006E0C09" w:rsidP="003241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окончание: "_</w:t>
            </w:r>
            <w:r w:rsidR="003241BF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16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_" ______</w:t>
            </w:r>
            <w:r w:rsidR="00986C70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11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____ 20</w:t>
            </w:r>
            <w:r w:rsidR="003241BF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21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 г.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 местного самоуправления городского округа Пелым - разработчик проекта муниципального нормативного правового акта, проводивший оценку регулирующего воздействия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D637F9" w:rsidRPr="00986C70" w:rsidRDefault="006E0C0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  <w:r w:rsidR="00D637F9" w:rsidRPr="00986C70">
              <w:rPr>
                <w:color w:val="FF0000"/>
              </w:rPr>
              <w:t xml:space="preserve"> </w:t>
            </w:r>
            <w:hyperlink r:id="rId6" w:history="1">
              <w:r w:rsidR="00D637F9" w:rsidRPr="00986C70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http://go.pelym-adm.info/edit-blog/50-ekonomika/2479</w:t>
              </w:r>
            </w:hyperlink>
            <w:r w:rsidR="00D637F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.htm</w:t>
            </w:r>
          </w:p>
          <w:p w:rsidR="00D637F9" w:rsidRPr="00986C70" w:rsidRDefault="00D637F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E0C09" w:rsidRPr="00986C70" w:rsidRDefault="00D637F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E0C09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  <w:p w:rsidR="003241BF" w:rsidRPr="00986C70" w:rsidRDefault="00986C70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="003241BF" w:rsidRPr="00986C70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http://go.pelym-adm.info/edit-blog/50-ekonomika/2479</w:t>
              </w:r>
            </w:hyperlink>
            <w:r w:rsidR="003241BF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.htm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B82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Ф.И.О.: </w:t>
            </w:r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Шмелева Екатерина Александровна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B82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Должность: </w:t>
            </w:r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ведущий специалист 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B82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Тел.: 8(34386)</w:t>
            </w:r>
            <w:r w:rsidR="004D31EB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2-</w:t>
            </w:r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77-12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B82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otdelokcdm</w:t>
            </w:r>
            <w:proofErr w:type="spellEnd"/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@</w:t>
            </w:r>
            <w:r w:rsidR="00B827A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mail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Органы муниципального контроля – 1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Органы прокуратуры – </w:t>
            </w:r>
            <w:r w:rsidR="00B827A4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;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Данные об изменениях количества участников отношений в течение 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срока действия муниципального нормативного правового акта: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986C70" w:rsidRDefault="00F26FA6" w:rsidP="003241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ИС «Консультант плюс»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3. ОЦЕНКА СТЕПЕНИ РЕШЕНИЯ ПРОБЛЕМЫ И </w:t>
            </w: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СВЯЗАННЫХ С НЕЙ НЕГАТИВНЫХ ЭФФЕКТОВ ЗА СЧЕТ РЕГУЛИРОВАНИЯ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Описание проблемы, на решение которой направлено регулирование, установленное муниципальным нормативным правовым актом, и связанных с ней негативных эффектов:</w:t>
            </w:r>
          </w:p>
          <w:p w:rsidR="00B827A4" w:rsidRPr="00986C70" w:rsidRDefault="00B827A4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E0C09" w:rsidRPr="00986C70" w:rsidRDefault="00ED473B" w:rsidP="00B827A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</w:pPr>
            <w:r w:rsidRPr="00986C70">
              <w:rPr>
                <w:rFonts w:ascii="Liberation Serif" w:eastAsia="Times New Roman" w:hAnsi="Liberation Serif" w:cs="Liberation Serif"/>
                <w:bCs/>
                <w:i/>
                <w:color w:val="FF0000"/>
                <w:sz w:val="24"/>
                <w:szCs w:val="24"/>
                <w:lang w:eastAsia="ru-RU"/>
              </w:rPr>
              <w:t xml:space="preserve">Разработка и принятие проекта нормативного правового акта </w:t>
            </w:r>
            <w:r w:rsidR="00B827A4"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«Об утверждении Административного </w:t>
            </w:r>
            <w:hyperlink w:anchor="Par48" w:history="1">
              <w:proofErr w:type="gramStart"/>
              <w:r w:rsidR="00B827A4" w:rsidRPr="00986C70">
                <w:rPr>
                  <w:rFonts w:ascii="Liberation Serif" w:eastAsia="Calibri" w:hAnsi="Liberation Serif" w:cs="Liberation Serif"/>
                  <w:i/>
                  <w:color w:val="FF0000"/>
                  <w:sz w:val="24"/>
                  <w:szCs w:val="24"/>
                </w:rPr>
                <w:t>регламент</w:t>
              </w:r>
              <w:proofErr w:type="gramEnd"/>
            </w:hyperlink>
            <w:r w:rsidR="00B827A4"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>а предоставления муниципальной услуги «Запись на обучение по дополнительной общеобразовательной программе»</w:t>
            </w:r>
            <w:r w:rsidR="00B827A4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»</w:t>
            </w:r>
            <w:r w:rsidR="00B827A4"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 </w:t>
            </w:r>
            <w:r w:rsidR="00B827A4" w:rsidRPr="00986C70">
              <w:rPr>
                <w:rFonts w:ascii="Liberation Serif" w:eastAsia="Times New Roman" w:hAnsi="Liberation Serif" w:cs="Liberation Serif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в соответствии с правилами, утвержденными постановлением Правительства </w:t>
            </w:r>
            <w:r w:rsidR="00B827A4" w:rsidRPr="00986C70">
              <w:rPr>
                <w:rFonts w:ascii="Liberation Serif" w:eastAsia="Times New Roman" w:hAnsi="Liberation Serif" w:cs="Liberation Serif" w:hint="eastAsia"/>
                <w:bCs/>
                <w:i/>
                <w:iCs/>
                <w:color w:val="FF0000"/>
                <w:sz w:val="24"/>
                <w:szCs w:val="24"/>
                <w:lang w:eastAsia="ru-RU"/>
              </w:rPr>
              <w:t>РФ</w:t>
            </w:r>
            <w:r w:rsidR="00B827A4" w:rsidRPr="00986C70">
              <w:rPr>
                <w:rFonts w:ascii="Liberation Serif" w:eastAsia="Times New Roman" w:hAnsi="Liberation Serif" w:cs="Liberation Serif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от 16.05.2011 № 373 </w:t>
            </w:r>
            <w:r w:rsidR="00B827A4" w:rsidRPr="00986C70">
              <w:rPr>
                <w:rFonts w:ascii="Liberation Serif" w:eastAsia="Times New Roman" w:hAnsi="Liberation Serif" w:cs="Liberation Serif" w:hint="eastAsia"/>
                <w:bCs/>
                <w:i/>
                <w:iCs/>
                <w:color w:val="FF0000"/>
                <w:sz w:val="24"/>
                <w:szCs w:val="24"/>
                <w:lang w:eastAsia="ru-RU"/>
              </w:rPr>
              <w:t>«</w:t>
            </w:r>
            <w:r w:rsidR="00B827A4" w:rsidRPr="00986C70">
              <w:rPr>
                <w:rFonts w:ascii="Liberation Serif" w:eastAsia="Times New Roman" w:hAnsi="Liberation Serif" w:cs="Liberation Serif"/>
                <w:bCs/>
                <w:i/>
                <w:iCs/>
                <w:color w:val="FF0000"/>
                <w:sz w:val="24"/>
                <w:szCs w:val="24"/>
                <w:lang w:eastAsia="ru-RU"/>
              </w:rPr>
              <w:t>О разработке и утверждении административных регламентов»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B827A4" w:rsidRPr="00986C70" w:rsidRDefault="00B827A4" w:rsidP="00B827A4">
            <w:pPr>
              <w:suppressAutoHyphens/>
              <w:overflowPunct w:val="0"/>
              <w:autoSpaceDE w:val="0"/>
              <w:autoSpaceDN w:val="0"/>
              <w:spacing w:after="120" w:line="240" w:lineRule="auto"/>
              <w:textAlignment w:val="baseline"/>
              <w:rPr>
                <w:rFonts w:ascii="Liberation Serif" w:eastAsia="Times New Roman" w:hAnsi="Liberation Serif" w:cs="Liberation Serif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в случае непринятия </w:t>
            </w:r>
            <w:r w:rsidRPr="00986C70">
              <w:rPr>
                <w:rFonts w:ascii="Liberation Serif" w:eastAsia="Times New Roman" w:hAnsi="Liberation Serif" w:cs="Liberation Serif"/>
                <w:bCs/>
                <w:i/>
                <w:color w:val="FF0000"/>
                <w:sz w:val="24"/>
                <w:szCs w:val="24"/>
                <w:lang w:eastAsia="ru-RU"/>
              </w:rPr>
              <w:t>проекта нормативного правового акта</w:t>
            </w:r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 нарушатся законные права и интересы граждан</w:t>
            </w:r>
          </w:p>
          <w:p w:rsidR="006E0C09" w:rsidRPr="00986C70" w:rsidRDefault="006E0C09" w:rsidP="003241BF">
            <w:pPr>
              <w:suppressAutoHyphens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 xml:space="preserve"> ИС «Консультант плюс»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ОКРУГА ПЕЛЫМ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Наименование органа местного самоуправления, осуществляющего функцию (предоставляющего услугу): 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Выделение денежных средств из бюджета городского округа Пелым не требуется</w:t>
            </w:r>
          </w:p>
        </w:tc>
      </w:tr>
      <w:tr w:rsidR="00986C70" w:rsidRPr="00986C70" w:rsidTr="004D31EB">
        <w:trPr>
          <w:jc w:val="center"/>
        </w:trPr>
        <w:tc>
          <w:tcPr>
            <w:tcW w:w="2891" w:type="dxa"/>
            <w:gridSpan w:val="6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986C70" w:rsidRPr="00986C70" w:rsidTr="004D31EB">
        <w:trPr>
          <w:jc w:val="center"/>
        </w:trPr>
        <w:tc>
          <w:tcPr>
            <w:tcW w:w="2891" w:type="dxa"/>
            <w:gridSpan w:val="6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4.2.1. Расходы в год: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2891" w:type="dxa"/>
            <w:gridSpan w:val="6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4.2.2. Поступления в год: -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поступления N...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расходы по (функции N...) в год: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поступления по (функции N...) в год: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</w:t>
            </w:r>
          </w:p>
        </w:tc>
      </w:tr>
      <w:tr w:rsidR="00986C70" w:rsidRPr="00986C70" w:rsidTr="004D31EB">
        <w:trPr>
          <w:jc w:val="center"/>
        </w:trPr>
        <w:tc>
          <w:tcPr>
            <w:tcW w:w="2211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93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5.3. Описание видов расходов</w:t>
            </w:r>
          </w:p>
        </w:tc>
        <w:tc>
          <w:tcPr>
            <w:tcW w:w="190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5.4. Количественная оценка</w:t>
            </w:r>
          </w:p>
        </w:tc>
      </w:tr>
      <w:tr w:rsidR="00986C70" w:rsidRPr="00986C70" w:rsidTr="004D31EB">
        <w:trPr>
          <w:jc w:val="center"/>
        </w:trPr>
        <w:tc>
          <w:tcPr>
            <w:tcW w:w="2211" w:type="dxa"/>
            <w:gridSpan w:val="4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9" w:type="dxa"/>
            <w:gridSpan w:val="5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расходов N 1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2211" w:type="dxa"/>
            <w:gridSpan w:val="4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6E0C09" w:rsidRPr="00986C70" w:rsidRDefault="006E0C09" w:rsidP="006E0C0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Расходы в год: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расходов N 1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муниципального нормативного правового акта):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986C70" w:rsidRPr="00986C70" w:rsidTr="004D31EB">
        <w:trPr>
          <w:jc w:val="center"/>
        </w:trPr>
        <w:tc>
          <w:tcPr>
            <w:tcW w:w="2551" w:type="dxa"/>
            <w:gridSpan w:val="5"/>
          </w:tcPr>
          <w:p w:rsidR="006E0C09" w:rsidRPr="00986C70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09" w:type="dxa"/>
            <w:gridSpan w:val="4"/>
          </w:tcPr>
          <w:p w:rsidR="006E0C09" w:rsidRPr="00986C70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6E0C09" w:rsidRPr="00986C70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6E0C09" w:rsidRPr="00986C70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986C70" w:rsidRPr="00986C70" w:rsidTr="004D31EB">
        <w:trPr>
          <w:jc w:val="center"/>
        </w:trPr>
        <w:tc>
          <w:tcPr>
            <w:tcW w:w="2551" w:type="dxa"/>
            <w:gridSpan w:val="5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gridSpan w:val="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SimSun" w:hAnsi="Liberation Serif" w:cs="Liberation Serif"/>
                <w:i/>
                <w:color w:val="FF0000"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986C70" w:rsidRPr="00986C70" w:rsidTr="004D31EB">
        <w:trPr>
          <w:jc w:val="center"/>
        </w:trPr>
        <w:tc>
          <w:tcPr>
            <w:tcW w:w="3713" w:type="dxa"/>
            <w:gridSpan w:val="8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7.1. Характеристика реализованных </w:t>
            </w: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методов контроля эффективности достижения целей</w:t>
            </w:r>
            <w:proofErr w:type="gramEnd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7.2. Описание </w:t>
            </w: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результатов реализации методов контроля эффективности достижения целей</w:t>
            </w:r>
            <w:proofErr w:type="gramEnd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необходимых для достижения целей мероприятий</w:t>
            </w:r>
          </w:p>
        </w:tc>
        <w:tc>
          <w:tcPr>
            <w:tcW w:w="2578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986C70" w:rsidRPr="00986C70" w:rsidTr="004D31EB">
        <w:trPr>
          <w:jc w:val="center"/>
        </w:trPr>
        <w:tc>
          <w:tcPr>
            <w:tcW w:w="3713" w:type="dxa"/>
            <w:gridSpan w:val="8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3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8" w:type="dxa"/>
            <w:gridSpan w:val="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0 млн. руб. за период ____ годов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области: 0  млн. руб. за период ____ годов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986C70" w:rsidRPr="00986C70" w:rsidTr="004D31EB">
        <w:trPr>
          <w:jc w:val="center"/>
        </w:trPr>
        <w:tc>
          <w:tcPr>
            <w:tcW w:w="1190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2155" w:type="dxa"/>
            <w:gridSpan w:val="5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615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16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1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267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986C70" w:rsidRPr="00986C70" w:rsidTr="004D31EB">
        <w:trPr>
          <w:jc w:val="center"/>
        </w:trPr>
        <w:tc>
          <w:tcPr>
            <w:tcW w:w="1190" w:type="dxa"/>
            <w:gridSpan w:val="2"/>
            <w:vMerge w:val="restart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55" w:type="dxa"/>
            <w:gridSpan w:val="5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7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86C70" w:rsidRPr="00986C70" w:rsidTr="004D31EB">
        <w:trPr>
          <w:jc w:val="center"/>
        </w:trPr>
        <w:tc>
          <w:tcPr>
            <w:tcW w:w="1190" w:type="dxa"/>
            <w:gridSpan w:val="2"/>
            <w:vMerge/>
          </w:tcPr>
          <w:p w:rsidR="006E0C09" w:rsidRPr="00986C70" w:rsidRDefault="006E0C09" w:rsidP="006E0C0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gridSpan w:val="2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7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Источники данных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 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</w:t>
            </w:r>
            <w:proofErr w:type="gramEnd"/>
            <w:r w:rsidR="00BB37B4"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Источники данных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 СВЕДЕНИЯ О ПРОВЕДЕНИИ ПУБЛИЧНОГО ОБСУЖДЕНИЯ МУНИЦИПАЛЬНОГО НОРМАТИВНОГО ПРАВОВОГО АКТА И ЗАКЛЮЧЕНИЯ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начало: "__" __________ 20__ г.</w:t>
            </w:r>
          </w:p>
          <w:p w:rsidR="006E0C09" w:rsidRPr="00986C70" w:rsidRDefault="006E0C09" w:rsidP="00F26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окончание: "__" _________ 20__ г.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B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Полный электронный адрес размещения муниципального нормативного </w:t>
            </w: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правового акта, сводки предложений и заключения на официальном сайте: 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сведения о проведении публичного обсуждения муниципального нормативного правового акта и заключения: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3A15BD" w:rsidRPr="00986C70" w:rsidRDefault="003A15BD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14A36" w:rsidRPr="00986C70" w:rsidRDefault="006E0C09" w:rsidP="00214A36">
            <w:pPr>
              <w:pStyle w:val="ConsPlusNormal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По результатам экспертизы нормативного правового акта </w:t>
            </w:r>
            <w:r w:rsidR="003A15BD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–</w:t>
            </w:r>
            <w:r w:rsidR="00214A36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D473B" w:rsidRPr="00986C70">
              <w:rPr>
                <w:rFonts w:ascii="Liberation Serif" w:eastAsia="Times New Roman" w:hAnsi="Liberation Serif" w:cs="Liberation Serif"/>
                <w:bCs/>
                <w:i/>
                <w:color w:val="FF0000"/>
                <w:sz w:val="24"/>
                <w:szCs w:val="24"/>
                <w:lang w:eastAsia="ru-RU"/>
              </w:rPr>
              <w:t>проект нормативно</w:t>
            </w:r>
            <w:r w:rsidR="00214A36" w:rsidRPr="00986C70">
              <w:rPr>
                <w:rFonts w:ascii="Liberation Serif" w:eastAsia="Times New Roman" w:hAnsi="Liberation Serif" w:cs="Liberation Serif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D473B" w:rsidRPr="00986C70">
              <w:rPr>
                <w:rFonts w:ascii="Liberation Serif" w:eastAsia="Times New Roman" w:hAnsi="Liberation Serif" w:cs="Liberation Serif"/>
                <w:bCs/>
                <w:i/>
                <w:color w:val="FF0000"/>
                <w:sz w:val="24"/>
                <w:szCs w:val="24"/>
                <w:lang w:eastAsia="ru-RU"/>
              </w:rPr>
              <w:t>- правового акта</w:t>
            </w:r>
            <w:r w:rsidR="00214A36" w:rsidRPr="00986C70">
              <w:rPr>
                <w:rFonts w:ascii="Liberation Serif" w:eastAsia="Times New Roman" w:hAnsi="Liberation Serif" w:cs="Liberation Serif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14A36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«</w:t>
            </w:r>
            <w:r w:rsidR="00214A36" w:rsidRPr="00986C70"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  <w:t xml:space="preserve">Проект постановления администрации городского округа Пелым «Об утверждении Административного </w:t>
            </w:r>
            <w:hyperlink w:anchor="Par48" w:history="1">
              <w:proofErr w:type="gramStart"/>
              <w:r w:rsidR="00214A36" w:rsidRPr="00986C70">
                <w:rPr>
                  <w:rFonts w:ascii="Liberation Serif" w:hAnsi="Liberation Serif" w:cs="Liberation Serif"/>
                  <w:i/>
                  <w:color w:val="FF0000"/>
                  <w:sz w:val="24"/>
                  <w:szCs w:val="24"/>
                </w:rPr>
                <w:t>регламент</w:t>
              </w:r>
              <w:proofErr w:type="gramEnd"/>
            </w:hyperlink>
            <w:r w:rsidR="00214A36" w:rsidRPr="00986C70"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  <w:t>а предоставления муниципальной услуги «Запись на обучение по дополнительной общеобразовательной программе»</w:t>
            </w:r>
            <w:r w:rsidR="00214A36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  <w:p w:rsidR="006E0C09" w:rsidRPr="00986C70" w:rsidRDefault="00214A36" w:rsidP="00214A36">
            <w:pPr>
              <w:suppressAutoHyphens/>
              <w:overflowPunct w:val="0"/>
              <w:autoSpaceDE w:val="0"/>
              <w:autoSpaceDN w:val="0"/>
              <w:spacing w:after="120" w:line="240" w:lineRule="auto"/>
              <w:textAlignment w:val="baseline"/>
              <w:rPr>
                <w:rFonts w:ascii="Liberation Serif" w:eastAsia="Times New Roman" w:hAnsi="Liberation Serif" w:cs="Liberation Serif"/>
                <w:i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в случае принятия </w:t>
            </w:r>
            <w:r w:rsidRPr="00986C70">
              <w:rPr>
                <w:rFonts w:ascii="Liberation Serif" w:eastAsia="Times New Roman" w:hAnsi="Liberation Serif" w:cs="Liberation Serif"/>
                <w:bCs/>
                <w:i/>
                <w:color w:val="FF0000"/>
                <w:sz w:val="24"/>
                <w:szCs w:val="24"/>
                <w:lang w:eastAsia="ru-RU"/>
              </w:rPr>
              <w:t>проекта нормативного правового акта</w:t>
            </w:r>
            <w:r w:rsidRPr="00986C70">
              <w:rPr>
                <w:rFonts w:ascii="Liberation Serif" w:eastAsia="Calibri" w:hAnsi="Liberation Serif" w:cs="Liberation Serif"/>
                <w:i/>
                <w:color w:val="FF0000"/>
                <w:sz w:val="24"/>
                <w:szCs w:val="24"/>
              </w:rPr>
              <w:t xml:space="preserve"> не нарушатся законные права и интересы граждан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Выводы об эффективности решения проблем и </w:t>
            </w:r>
            <w:proofErr w:type="gramStart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084AD4" w:rsidRPr="00986C70" w:rsidRDefault="006E0C09" w:rsidP="00084A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Приведение в соотве</w:t>
            </w:r>
            <w:r w:rsidR="00084AD4"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тствие с Федеральным законом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Выводы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86C70" w:rsidRPr="00986C70" w:rsidTr="004D31EB">
        <w:trPr>
          <w:jc w:val="center"/>
        </w:trPr>
        <w:tc>
          <w:tcPr>
            <w:tcW w:w="9054" w:type="dxa"/>
            <w:gridSpan w:val="14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ПОЛОЖЕНИЙ, О ВНЕСЕНИИ ИЗМЕНЕНИЙ В ДРУГИЕ МУНИЦИПАЛЬНЫЕ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Содержание предложения: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86C70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12.2.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Цели предложения:</w:t>
            </w:r>
          </w:p>
          <w:p w:rsidR="006E0C09" w:rsidRPr="00986C70" w:rsidRDefault="006E0C09" w:rsidP="006E0C09">
            <w:pPr>
              <w:widowControl w:val="0"/>
              <w:tabs>
                <w:tab w:val="center" w:pos="41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отсутствуют</w:t>
            </w: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ab/>
            </w:r>
          </w:p>
        </w:tc>
      </w:tr>
      <w:tr w:rsidR="006E0C09" w:rsidRPr="00986C70" w:rsidTr="004D31EB">
        <w:trPr>
          <w:jc w:val="center"/>
        </w:trPr>
        <w:tc>
          <w:tcPr>
            <w:tcW w:w="680" w:type="dxa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необходимо внести изменения:</w:t>
            </w:r>
          </w:p>
          <w:p w:rsidR="006E0C09" w:rsidRPr="00986C70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C7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6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6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Начальник ЭПО администрации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6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округа Пелым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6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______________         _____________________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6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Дата                     Подпись</w:t>
      </w: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C09" w:rsidRPr="00986C70" w:rsidRDefault="006E0C09" w:rsidP="006E0C0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E0C09" w:rsidRPr="00986C70" w:rsidRDefault="006E0C09" w:rsidP="006E0C0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E0C09" w:rsidRPr="00986C70" w:rsidRDefault="006E0C09" w:rsidP="006E0C0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E0C09" w:rsidRPr="00986C70" w:rsidRDefault="006E0C09" w:rsidP="006E0C0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E0C09" w:rsidRPr="00986C70" w:rsidRDefault="006E0C09" w:rsidP="006E0C0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bookmarkEnd w:id="0"/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084AD4" w:rsidRPr="00ED473B" w:rsidSect="00665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113"/>
    <w:multiLevelType w:val="hybridMultilevel"/>
    <w:tmpl w:val="3C00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E47"/>
    <w:multiLevelType w:val="hybridMultilevel"/>
    <w:tmpl w:val="99B2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FC7"/>
    <w:multiLevelType w:val="hybridMultilevel"/>
    <w:tmpl w:val="5E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2C43"/>
    <w:multiLevelType w:val="hybridMultilevel"/>
    <w:tmpl w:val="C44A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9"/>
    <w:rsid w:val="00084AD4"/>
    <w:rsid w:val="00114127"/>
    <w:rsid w:val="00143D5D"/>
    <w:rsid w:val="00214A36"/>
    <w:rsid w:val="002A733C"/>
    <w:rsid w:val="002C0F1F"/>
    <w:rsid w:val="003241BF"/>
    <w:rsid w:val="003A15BD"/>
    <w:rsid w:val="00465999"/>
    <w:rsid w:val="004D31EB"/>
    <w:rsid w:val="00612EED"/>
    <w:rsid w:val="006658F5"/>
    <w:rsid w:val="006B2838"/>
    <w:rsid w:val="006E0C09"/>
    <w:rsid w:val="00701F4E"/>
    <w:rsid w:val="00760F69"/>
    <w:rsid w:val="007B6F45"/>
    <w:rsid w:val="00823443"/>
    <w:rsid w:val="008A475B"/>
    <w:rsid w:val="008C2ECB"/>
    <w:rsid w:val="00986C70"/>
    <w:rsid w:val="009C7BBA"/>
    <w:rsid w:val="00B827A4"/>
    <w:rsid w:val="00BB37B4"/>
    <w:rsid w:val="00BB7832"/>
    <w:rsid w:val="00BB7B19"/>
    <w:rsid w:val="00C445B5"/>
    <w:rsid w:val="00D637F9"/>
    <w:rsid w:val="00E44559"/>
    <w:rsid w:val="00E52FCB"/>
    <w:rsid w:val="00ED473B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27A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27A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pelym-adm.info/edit-blog/50-ekonomika/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pelym-adm.info/edit-blog/50-ekonomika/2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18</cp:revision>
  <cp:lastPrinted>2021-10-06T06:05:00Z</cp:lastPrinted>
  <dcterms:created xsi:type="dcterms:W3CDTF">2021-08-05T04:03:00Z</dcterms:created>
  <dcterms:modified xsi:type="dcterms:W3CDTF">2021-11-24T08:54:00Z</dcterms:modified>
</cp:coreProperties>
</file>