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4" w:rsidRDefault="00E4060C">
      <w:pPr>
        <w:pStyle w:val="ConsPlusTitle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535954" w:rsidRDefault="00E4060C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535954" w:rsidRDefault="00535954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10067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794DEC" w:rsidRPr="00EB03C6" w:rsidRDefault="00794DEC" w:rsidP="00794DEC">
            <w:pPr>
              <w:contextualSpacing/>
              <w:mirrorIndents/>
              <w:jc w:val="both"/>
              <w:rPr>
                <w:i/>
                <w:szCs w:val="28"/>
              </w:rPr>
            </w:pPr>
            <w:r w:rsidRPr="00EB03C6">
              <w:rPr>
                <w:i/>
                <w:szCs w:val="28"/>
              </w:rPr>
              <w:t xml:space="preserve">проект постановления администрации городского округа Пелым «Об утверждении Административного </w:t>
            </w:r>
            <w:hyperlink w:anchor="Par48" w:history="1">
              <w:r w:rsidRPr="00EB03C6">
                <w:rPr>
                  <w:i/>
                  <w:szCs w:val="28"/>
                </w:rPr>
                <w:t>регламент</w:t>
              </w:r>
            </w:hyperlink>
            <w:r w:rsidRPr="00EB03C6">
              <w:rPr>
                <w:i/>
                <w:szCs w:val="28"/>
              </w:rPr>
              <w:t xml:space="preserve">а предоставления муниципальной услуги </w:t>
            </w:r>
            <w:r w:rsidRPr="00EB03C6">
              <w:rPr>
                <w:rFonts w:eastAsia="Calibri"/>
                <w:i/>
                <w:szCs w:val="28"/>
              </w:rPr>
              <w:t>«</w:t>
            </w:r>
            <w:r w:rsidRPr="00EB03C6">
              <w:rPr>
                <w:i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</w:p>
          <w:p w:rsidR="00535954" w:rsidRDefault="00E4060C" w:rsidP="00794DE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20 октября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 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 местного самоуправления муниципального образования, разработавший проект акта (далее – разработчик):</w:t>
            </w:r>
            <w:r w:rsidR="00803BC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03BCD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</w:t>
            </w:r>
            <w:r w:rsidR="00AB4BA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Администрация городского округа Пелым, экономико-правовой отдел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Якимова Надежда Николаевна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главный специалист по экономике 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AB4BAD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(343) </w:t>
            </w:r>
            <w:r w:rsidR="00AB4BAD">
              <w:rPr>
                <w:rFonts w:ascii="Liberation Serif" w:hAnsi="Liberation Serif" w:cs="Liberation Serif"/>
                <w:i/>
                <w:sz w:val="28"/>
                <w:szCs w:val="28"/>
              </w:rPr>
              <w:t>86-2-17-89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B1F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</w:t>
            </w:r>
          </w:p>
          <w:p w:rsidR="00AB4BAD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 Адрес 624582 Свердловская область, </w:t>
            </w:r>
            <w:proofErr w:type="spellStart"/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г.Ивдель</w:t>
            </w:r>
            <w:proofErr w:type="spellEnd"/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, п.Пелым, ул. Карла Маркса, к. №8</w:t>
            </w:r>
          </w:p>
          <w:p w:rsidR="009C486C" w:rsidRPr="009C486C" w:rsidRDefault="005E5B1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 Э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лектронный адрес: </w:t>
            </w:r>
            <w:hyperlink r:id="rId7" w:history="1"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n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yakimova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80@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yandex</w:t>
              </w:r>
              <w:r w:rsidR="009C486C" w:rsidRPr="009C486C">
                <w:rPr>
                  <w:rStyle w:val="a3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9C486C" w:rsidRPr="00491C7D">
                <w:rPr>
                  <w:rStyle w:val="a3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  <w:r w:rsidR="009C486C" w:rsidRPr="009C486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 xml:space="preserve">в теме сообщения указать 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«</w:t>
            </w:r>
            <w:r w:rsidR="009C486C">
              <w:rPr>
                <w:rFonts w:ascii="Liberation Serif" w:hAnsi="Liberation Serif" w:cs="Liberation Serif"/>
                <w:sz w:val="28"/>
                <w:szCs w:val="28"/>
              </w:rPr>
              <w:t>Предложения по подготовке проекта акта</w:t>
            </w:r>
            <w:r w:rsidR="009C486C">
              <w:rPr>
                <w:rFonts w:ascii="Liberation Serif" w:hAnsi="Liberation Serif" w:cs="Liberation Serif" w:hint="eastAsia"/>
                <w:sz w:val="28"/>
                <w:szCs w:val="28"/>
              </w:rPr>
              <w:t>»</w:t>
            </w:r>
          </w:p>
          <w:p w:rsidR="00535954" w:rsidRPr="00AB4BAD" w:rsidRDefault="00535954" w:rsidP="009C486C">
            <w:pPr>
              <w:pStyle w:val="ConsPlusNormal"/>
              <w:ind w:left="720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низкая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535954" w:rsidRPr="00EB03C6" w:rsidRDefault="00794DE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проект акта не содержит положений, предусмотренных подпунктами "а" и "б" пункта 6 Правил, однако подлежит оценке регулирующего воздействия</w:t>
            </w:r>
            <w:r w:rsidR="00EB03C6"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 xml:space="preserve"> </w:t>
            </w:r>
            <w:r w:rsidRPr="00EB03C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EFEFE"/>
              </w:rPr>
              <w:t>в соответствии с пунктом 1 Правил</w:t>
            </w:r>
          </w:p>
          <w:p w:rsidR="00535954" w:rsidRDefault="00E4060C" w:rsidP="00794DEC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 w:rsidR="00794DEC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рабочих дней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535954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5954" w:rsidRDefault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Отсутствие механизма регулирования предоставления</w:t>
            </w:r>
            <w:r w:rsidRPr="007E7969">
              <w:rPr>
                <w:b/>
                <w:sz w:val="24"/>
                <w:szCs w:val="24"/>
              </w:rPr>
              <w:t xml:space="preserve"> </w:t>
            </w:r>
            <w:r w:rsidRPr="00EB03C6">
              <w:rPr>
                <w:i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  <w:p w:rsidR="00EB03C6" w:rsidRDefault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7" w:name="P91"/>
            <w:bookmarkStart w:id="8" w:name="P94"/>
            <w:bookmarkEnd w:id="7"/>
            <w:bookmarkEnd w:id="8"/>
          </w:p>
          <w:p w:rsidR="00535954" w:rsidRDefault="00EB03C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Нарушение прав граждан</w:t>
            </w:r>
          </w:p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 w:rsidP="00EB03C6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103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3C6" w:rsidRDefault="00E4060C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6.1. Федеральный, региональный опыт в </w:t>
            </w:r>
            <w:r w:rsidR="005E1578">
              <w:rPr>
                <w:rFonts w:ascii="Liberation Serif" w:hAnsi="Liberation Serif" w:cs="Liberation Serif"/>
                <w:szCs w:val="28"/>
              </w:rPr>
              <w:t xml:space="preserve">сфере </w:t>
            </w:r>
            <w:r w:rsidR="00EB03C6">
              <w:rPr>
                <w:rFonts w:ascii="Liberation Serif" w:hAnsi="Liberation Serif" w:cs="Liberation Serif"/>
                <w:i/>
                <w:szCs w:val="28"/>
              </w:rPr>
              <w:t>предоставления</w:t>
            </w:r>
            <w:r w:rsidR="00EB03C6" w:rsidRPr="007E7969">
              <w:rPr>
                <w:b/>
                <w:sz w:val="24"/>
                <w:szCs w:val="24"/>
              </w:rPr>
              <w:t xml:space="preserve"> </w:t>
            </w:r>
            <w:r w:rsidR="00EB03C6" w:rsidRPr="00EB03C6">
              <w:rPr>
                <w:i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  <w:p w:rsidR="00535954" w:rsidRDefault="00535954" w:rsidP="005E1578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111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113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11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7.3. Положения проекта, направленные на достижение целей регулирования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B03C6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Урегулирование предоставления</w:t>
            </w:r>
            <w:r w:rsidRPr="007E7969">
              <w:rPr>
                <w:b/>
                <w:sz w:val="24"/>
                <w:szCs w:val="24"/>
              </w:rPr>
              <w:t xml:space="preserve"> </w:t>
            </w:r>
            <w:r w:rsidRPr="00EB03C6">
              <w:rPr>
                <w:i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EB03C6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20 октября 2021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года (с момента вступления в силу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3C6" w:rsidRDefault="00E4060C" w:rsidP="00EB03C6">
            <w:pPr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 xml:space="preserve">Положения, регулирующие </w:t>
            </w:r>
            <w:r w:rsidR="00EB03C6">
              <w:rPr>
                <w:rFonts w:ascii="Liberation Serif" w:hAnsi="Liberation Serif" w:cs="Liberation Serif"/>
                <w:i/>
                <w:szCs w:val="28"/>
              </w:rPr>
              <w:t>порядок предоставления</w:t>
            </w:r>
            <w:r w:rsidR="00EB03C6" w:rsidRPr="007E7969">
              <w:rPr>
                <w:b/>
                <w:sz w:val="24"/>
                <w:szCs w:val="24"/>
              </w:rPr>
              <w:t xml:space="preserve"> </w:t>
            </w:r>
            <w:r w:rsidR="00EB03C6" w:rsidRPr="00EB03C6">
              <w:rPr>
                <w:i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  <w:p w:rsidR="00535954" w:rsidRDefault="00535954" w:rsidP="00EB03C6">
            <w:pPr>
              <w:pStyle w:val="ConsPlusNormal"/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119"/>
            <w:bookmarkStart w:id="14" w:name="P125"/>
            <w:bookmarkEnd w:id="13"/>
            <w:bookmarkEnd w:id="14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5954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127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</w:p>
          <w:p w:rsidR="00535954" w:rsidRPr="00EB03C6" w:rsidRDefault="00E4060C" w:rsidP="00EB03C6">
            <w:pPr>
              <w:contextualSpacing/>
              <w:mirrorIndents/>
              <w:jc w:val="both"/>
              <w:rPr>
                <w:i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Cs w:val="28"/>
              </w:rPr>
              <w:t xml:space="preserve">Разработка и принятие проекта нормативного правового акта </w:t>
            </w:r>
            <w:r w:rsidR="00EB03C6" w:rsidRPr="00EB03C6">
              <w:rPr>
                <w:i/>
                <w:szCs w:val="28"/>
              </w:rPr>
              <w:t xml:space="preserve">«Об утверждении Административного </w:t>
            </w:r>
            <w:hyperlink w:anchor="Par48" w:history="1">
              <w:r w:rsidR="00EB03C6" w:rsidRPr="00EB03C6">
                <w:rPr>
                  <w:i/>
                  <w:szCs w:val="28"/>
                </w:rPr>
                <w:t>регламент</w:t>
              </w:r>
            </w:hyperlink>
            <w:r w:rsidR="00EB03C6" w:rsidRPr="00EB03C6">
              <w:rPr>
                <w:i/>
                <w:szCs w:val="28"/>
              </w:rPr>
              <w:t xml:space="preserve">а предоставления муниципальной услуги </w:t>
            </w:r>
            <w:r w:rsidR="00EB03C6" w:rsidRPr="00EB03C6">
              <w:rPr>
                <w:rFonts w:eastAsia="Calibri"/>
                <w:i/>
                <w:szCs w:val="28"/>
              </w:rPr>
              <w:t>«</w:t>
            </w:r>
            <w:r w:rsidR="00EB03C6" w:rsidRPr="00EB03C6">
              <w:rPr>
                <w:i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в соответствии с требованиями, установленными </w:t>
            </w:r>
            <w:r w:rsidR="00EB03C6"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>Градостроительным кодексом Российской Федерации</w:t>
            </w:r>
            <w:r>
              <w:rPr>
                <w:rFonts w:ascii="Liberation Serif" w:hAnsi="Liberation Serif" w:cs="Liberation Serif"/>
                <w:bCs/>
                <w:i/>
                <w:iCs/>
                <w:szCs w:val="28"/>
              </w:rPr>
              <w:t xml:space="preserve"> поз</w:t>
            </w:r>
            <w:r>
              <w:rPr>
                <w:rFonts w:ascii="Liberation Serif" w:hAnsi="Liberation Serif" w:cs="Liberation Serif"/>
                <w:i/>
                <w:szCs w:val="28"/>
              </w:rPr>
              <w:t xml:space="preserve">волит </w:t>
            </w:r>
            <w:r w:rsidR="00EB03C6">
              <w:rPr>
                <w:rFonts w:ascii="Liberation Serif" w:hAnsi="Liberation Serif" w:cs="Liberation Serif"/>
                <w:i/>
                <w:szCs w:val="28"/>
              </w:rPr>
              <w:t>урегулировать порядок предоставления</w:t>
            </w:r>
            <w:r w:rsidR="00EB03C6" w:rsidRPr="007E7969">
              <w:rPr>
                <w:b/>
                <w:sz w:val="24"/>
                <w:szCs w:val="24"/>
              </w:rPr>
              <w:t xml:space="preserve"> </w:t>
            </w:r>
            <w:r w:rsidR="00EB03C6" w:rsidRPr="00EB03C6">
              <w:rPr>
                <w:i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B03C6" w:rsidRDefault="00E4060C" w:rsidP="00EB03C6">
            <w:pPr>
              <w:spacing w:after="120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944386"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в случае непринятия </w:t>
            </w:r>
            <w:r w:rsidR="00EB03C6">
              <w:rPr>
                <w:rFonts w:ascii="Liberation Serif" w:hAnsi="Liberation Serif" w:cs="Liberation Serif"/>
                <w:bCs/>
                <w:i/>
                <w:szCs w:val="28"/>
              </w:rPr>
              <w:t>проекта нормативного правового акта</w:t>
            </w:r>
            <w:r w:rsidR="00EB03C6">
              <w:rPr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 нарушатся законные права и интересы граждан</w:t>
            </w:r>
          </w:p>
          <w:tbl>
            <w:tblPr>
              <w:tblW w:w="971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263"/>
              <w:gridCol w:w="2908"/>
              <w:gridCol w:w="3544"/>
            </w:tblGrid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535954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954" w:rsidRDefault="00E4060C">
                  <w:pPr>
                    <w:pStyle w:val="ConsPlusNormal"/>
                    <w:jc w:val="center"/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35954" w:rsidRDefault="00535954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136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535954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138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</w:p>
          <w:p w:rsidR="00535954" w:rsidRDefault="00E4060C" w:rsidP="00EB03C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 w:rsidR="00EB03C6">
              <w:rPr>
                <w:rFonts w:ascii="Liberation Serif" w:hAnsi="Liberation Serif" w:cs="Liberation Serif"/>
                <w:i/>
                <w:sz w:val="28"/>
                <w:szCs w:val="28"/>
              </w:rPr>
              <w:t>Физические и юридические лица, заинтересованные в предоставлении муниципальной услуги</w:t>
            </w: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9.2. Оценка количества участников отношений:</w:t>
            </w: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535954" w:rsidRPr="00EA1C99" w:rsidRDefault="00E4060C">
            <w:pPr>
              <w:pStyle w:val="ConsPlusNormal"/>
              <w:rPr>
                <w:i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9.2.1.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Органы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местного самоуправления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</w:p>
          <w:p w:rsidR="00535954" w:rsidRDefault="00E4060C" w:rsidP="00EA1C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 w:rsidR="00EA1C99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лица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–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0 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 юридические лица – </w:t>
            </w:r>
            <w:r w:rsidR="00944386"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>0</w:t>
            </w:r>
            <w:r w:rsidRPr="00EA1C99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субъектов;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9.3. После введения предлагаемого регулирования:</w:t>
            </w:r>
          </w:p>
          <w:p w:rsidR="00535954" w:rsidRDefault="00E4060C" w:rsidP="00EA1C99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9.3. Источники данных: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153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154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155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944386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 w:rsidR="00944386"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535954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4A2B1F" w:rsidP="004A2B1F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4A2B1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соответствии с </w:t>
            </w:r>
            <w:r w:rsidR="004A2B1F">
              <w:rPr>
                <w:rFonts w:ascii="Liberation Serif" w:hAnsi="Liberation Serif" w:cs="Liberation Serif"/>
                <w:i/>
                <w:sz w:val="28"/>
                <w:szCs w:val="28"/>
              </w:rPr>
              <w:t>Градостроительным кодексом Российской Федерации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</w:tc>
      </w:tr>
      <w:tr w:rsidR="00535954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535954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both"/>
            </w:pPr>
            <w:bookmarkStart w:id="21" w:name="P18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10.5. Источники данных: ведомственные данные</w:t>
            </w: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535954" w:rsidRDefault="0053595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191"/>
            <w:bookmarkEnd w:id="22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193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194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195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расходов, выгод (преимуществ):</w:t>
            </w:r>
          </w:p>
        </w:tc>
      </w:tr>
      <w:tr w:rsidR="00535954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D80ED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Физические и юридические лица, заинтересованные в предоставлении муниципальной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услуги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</w:pP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D80ED8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  <w:p w:rsidR="00535954" w:rsidRDefault="00535954" w:rsidP="00D80ED8">
            <w:pPr>
              <w:pStyle w:val="ConsPlusNormal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shd w:val="clear" w:color="auto" w:fill="FFFF00"/>
              </w:rPr>
            </w:pP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199"/>
            <w:bookmarkStart w:id="27" w:name="P207"/>
            <w:bookmarkEnd w:id="26"/>
            <w:bookmarkEnd w:id="27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 w:rsidP="00D80ED8">
            <w:pPr>
              <w:pStyle w:val="ConsPlusNormal"/>
              <w:ind w:left="-901"/>
              <w:jc w:val="center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  <w:r w:rsidR="00D80ED8">
              <w:rPr>
                <w:rFonts w:ascii="Liberation Serif" w:hAnsi="Liberation Serif" w:cs="Liberation Serif"/>
                <w:sz w:val="28"/>
                <w:szCs w:val="28"/>
              </w:rPr>
              <w:t xml:space="preserve">: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8" w:name="P216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9" w:name="P217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D80ED8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D80ED8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535954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D80ED8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D80ED8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15.1. Предполагаемая дата вступления в силу проекта акта: 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20 октября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202</w:t>
            </w:r>
            <w:r w:rsidR="00D80ED8">
              <w:rPr>
                <w:rFonts w:ascii="Liberation Serif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года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/Да (с указанием срока в днях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 w:rsidP="00D80ED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="00D80ED8"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отсутствует</w:t>
            </w:r>
          </w:p>
        </w:tc>
      </w:tr>
      <w:tr w:rsidR="00535954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0" w:name="P249"/>
            <w:bookmarkStart w:id="31" w:name="P260"/>
            <w:bookmarkEnd w:id="30"/>
            <w:bookmarkEnd w:id="31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Индикативные показатели, программы мониторинга достижения цели регулирования, иные способы (методы) оценки достижения заявленных целей регулирования </w:t>
            </w:r>
          </w:p>
        </w:tc>
      </w:tr>
      <w:tr w:rsidR="00535954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16.1. Цели 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16.2. 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16.3. 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16.4. Целевые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Default="00E4060C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16.5. Способы расчета индикативных показателей</w:t>
            </w:r>
          </w:p>
        </w:tc>
      </w:tr>
      <w:tr w:rsidR="00D80ED8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b/>
              </w:rPr>
            </w:pPr>
            <w:r w:rsidRPr="00D80ED8">
              <w:rPr>
                <w:b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  <w:rPr>
                <w:rFonts w:ascii="Liberation Serif" w:hAnsi="Liberation Serif" w:cs="Liberation Serif"/>
                <w:i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ED8" w:rsidRPr="00D80ED8" w:rsidRDefault="00D80ED8" w:rsidP="00064541">
            <w:pPr>
              <w:jc w:val="center"/>
            </w:pPr>
            <w:r w:rsidRPr="00D80ED8">
              <w:rPr>
                <w:rFonts w:ascii="Liberation Serif" w:hAnsi="Liberation Serif" w:cs="Liberation Serif"/>
                <w:i/>
                <w:szCs w:val="28"/>
              </w:rPr>
              <w:t>-</w:t>
            </w:r>
          </w:p>
        </w:tc>
      </w:tr>
      <w:tr w:rsidR="00535954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954" w:rsidRPr="00D80ED8" w:rsidRDefault="00E4060C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535954" w:rsidRPr="00D80ED8" w:rsidRDefault="00D80ED8" w:rsidP="00D80ED8">
            <w:pPr>
              <w:pStyle w:val="ConsPlusNormal"/>
              <w:spacing w:line="216" w:lineRule="auto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80ED8">
              <w:rPr>
                <w:rFonts w:ascii="Liberation Serif" w:hAnsi="Liberation Serif" w:cs="Liberation Serif"/>
                <w:i/>
                <w:sz w:val="28"/>
                <w:szCs w:val="28"/>
              </w:rPr>
              <w:t>Урегулирование порядка предоставления</w:t>
            </w:r>
            <w:r w:rsidRPr="00D8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ED8">
              <w:rPr>
                <w:rFonts w:ascii="Times New Roman" w:hAnsi="Times New Roman" w:cs="Times New Roman"/>
                <w:i/>
                <w:sz w:val="28"/>
                <w:szCs w:val="28"/>
              </w:rPr>
              <w:t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</w:tbl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2" w:name="P405"/>
      <w:bookmarkEnd w:id="32"/>
    </w:p>
    <w:p w:rsidR="00535954" w:rsidRDefault="00535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44386" w:rsidRDefault="00E4060C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944386">
        <w:rPr>
          <w:rFonts w:ascii="Liberation Serif" w:hAnsi="Liberation Serif" w:cs="Liberation Serif"/>
          <w:sz w:val="28"/>
          <w:szCs w:val="28"/>
        </w:rPr>
        <w:t xml:space="preserve">главы администрации </w:t>
      </w: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Пелым</w:t>
      </w:r>
    </w:p>
    <w:p w:rsidR="00535954" w:rsidRDefault="00535954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535954" w:rsidRDefault="00944386" w:rsidP="00944386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Т.Н.</w:t>
      </w:r>
      <w:r w:rsidR="00D80ED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Баландина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D80ED8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</w:t>
      </w:r>
      <w:r w:rsidR="00E4060C">
        <w:rPr>
          <w:rFonts w:ascii="Liberation Serif" w:hAnsi="Liberation Serif" w:cs="Liberation Serif"/>
          <w:sz w:val="28"/>
          <w:szCs w:val="28"/>
        </w:rPr>
        <w:tab/>
        <w:t>_________________</w:t>
      </w:r>
    </w:p>
    <w:p w:rsidR="00535954" w:rsidRDefault="00E4060C">
      <w:pPr>
        <w:pStyle w:val="ConsPlusNormal"/>
        <w:spacing w:line="216" w:lineRule="auto"/>
        <w:ind w:hanging="4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Подпись</w:t>
      </w:r>
    </w:p>
    <w:p w:rsidR="00535954" w:rsidRDefault="00535954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535954" w:rsidRDefault="00535954">
      <w:pPr>
        <w:rPr>
          <w:rFonts w:ascii="Liberation Serif" w:hAnsi="Liberation Serif" w:cs="Liberation Serif"/>
          <w:szCs w:val="28"/>
        </w:rPr>
      </w:pPr>
    </w:p>
    <w:sectPr w:rsidR="00535954" w:rsidSect="004B7585">
      <w:headerReference w:type="default" r:id="rId8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9E" w:rsidRDefault="00F7259E">
      <w:r>
        <w:separator/>
      </w:r>
    </w:p>
  </w:endnote>
  <w:endnote w:type="continuationSeparator" w:id="0">
    <w:p w:rsidR="00F7259E" w:rsidRDefault="00F7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9E" w:rsidRDefault="00F7259E">
      <w:r>
        <w:rPr>
          <w:color w:val="000000"/>
        </w:rPr>
        <w:separator/>
      </w:r>
    </w:p>
  </w:footnote>
  <w:footnote w:type="continuationSeparator" w:id="0">
    <w:p w:rsidR="00F7259E" w:rsidRDefault="00F72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94" w:rsidRDefault="00213A60">
    <w:pPr>
      <w:pStyle w:val="a4"/>
      <w:jc w:val="center"/>
    </w:pPr>
    <w:r>
      <w:fldChar w:fldCharType="begin"/>
    </w:r>
    <w:r w:rsidR="00E4060C">
      <w:instrText xml:space="preserve"> PAGE </w:instrText>
    </w:r>
    <w:r>
      <w:fldChar w:fldCharType="separate"/>
    </w:r>
    <w:r w:rsidR="00D80ED8">
      <w:rPr>
        <w:noProof/>
      </w:rPr>
      <w:t>2</w:t>
    </w:r>
    <w:r>
      <w:fldChar w:fldCharType="end"/>
    </w:r>
  </w:p>
  <w:p w:rsidR="00C85B94" w:rsidRDefault="00F72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A72"/>
    <w:multiLevelType w:val="hybridMultilevel"/>
    <w:tmpl w:val="069E3F40"/>
    <w:lvl w:ilvl="0" w:tplc="E06C2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954"/>
    <w:rsid w:val="00213A60"/>
    <w:rsid w:val="004A2B1F"/>
    <w:rsid w:val="004B7585"/>
    <w:rsid w:val="00535954"/>
    <w:rsid w:val="005E1578"/>
    <w:rsid w:val="005E5B1F"/>
    <w:rsid w:val="00794DEC"/>
    <w:rsid w:val="00803BCD"/>
    <w:rsid w:val="00944386"/>
    <w:rsid w:val="00947F63"/>
    <w:rsid w:val="009C486C"/>
    <w:rsid w:val="00AB4BAD"/>
    <w:rsid w:val="00D80ED8"/>
    <w:rsid w:val="00E4060C"/>
    <w:rsid w:val="00EA1C99"/>
    <w:rsid w:val="00EB03C6"/>
    <w:rsid w:val="00EF35DE"/>
    <w:rsid w:val="00F7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5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585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B7585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B7585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3">
    <w:name w:val="Hyperlink"/>
    <w:basedOn w:val="a0"/>
    <w:rsid w:val="004B7585"/>
    <w:rPr>
      <w:color w:val="0563C1"/>
      <w:u w:val="single"/>
    </w:rPr>
  </w:style>
  <w:style w:type="paragraph" w:styleId="a4">
    <w:name w:val="head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rsid w:val="004B75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4B75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rsid w:val="004B7585"/>
    <w:pPr>
      <w:overflowPunct/>
      <w:autoSpaceDE/>
      <w:spacing w:after="160" w:line="247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4B7585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rsid w:val="004B7585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Balloon Text"/>
    <w:basedOn w:val="a"/>
    <w:rsid w:val="004B75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sid w:val="004B758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rsid w:val="004B7585"/>
    <w:rPr>
      <w:sz w:val="16"/>
      <w:szCs w:val="16"/>
    </w:rPr>
  </w:style>
  <w:style w:type="paragraph" w:styleId="ac">
    <w:name w:val="annotation text"/>
    <w:basedOn w:val="a"/>
    <w:rsid w:val="004B7585"/>
    <w:rPr>
      <w:sz w:val="20"/>
    </w:rPr>
  </w:style>
  <w:style w:type="character" w:customStyle="1" w:styleId="ad">
    <w:name w:val="Текст примечания Знак"/>
    <w:basedOn w:val="a0"/>
    <w:rsid w:val="004B7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rsid w:val="004B7585"/>
    <w:rPr>
      <w:b/>
      <w:bCs/>
    </w:rPr>
  </w:style>
  <w:style w:type="character" w:customStyle="1" w:styleId="af">
    <w:name w:val="Тема примечания Знак"/>
    <w:basedOn w:val="ad"/>
    <w:rsid w:val="004B75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.yakimova8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Nov2</cp:lastModifiedBy>
  <cp:revision>4</cp:revision>
  <cp:lastPrinted>2021-10-06T03:45:00Z</cp:lastPrinted>
  <dcterms:created xsi:type="dcterms:W3CDTF">2021-07-16T05:27:00Z</dcterms:created>
  <dcterms:modified xsi:type="dcterms:W3CDTF">2021-10-06T03:45:00Z</dcterms:modified>
</cp:coreProperties>
</file>